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CFC" w:rsidRDefault="00713196" w:rsidP="00B63CFC">
      <w:pPr>
        <w:jc w:val="center"/>
      </w:pPr>
      <w:r>
        <w:t xml:space="preserve">                                                        </w:t>
      </w:r>
      <w:r w:rsidR="00B63CFC">
        <w:t xml:space="preserve">Practica 2   “TÉCNICAS DE VENOPUNCIÓN” </w:t>
      </w:r>
      <w:r>
        <w:t xml:space="preserve">                                                       </w:t>
      </w:r>
      <w:proofErr w:type="spellStart"/>
      <w:r>
        <w:t>cbc</w:t>
      </w:r>
      <w:proofErr w:type="spellEnd"/>
    </w:p>
    <w:p w:rsidR="00B63CFC" w:rsidRDefault="00B63CFC" w:rsidP="00B63CFC">
      <w:pPr>
        <w:jc w:val="both"/>
      </w:pPr>
    </w:p>
    <w:p w:rsidR="00B63CFC" w:rsidRPr="007A7E5F" w:rsidRDefault="00B63CFC" w:rsidP="007A7E5F">
      <w:pPr>
        <w:spacing w:after="0"/>
        <w:jc w:val="both"/>
        <w:rPr>
          <w:rFonts w:ascii="Tahoma" w:hAnsi="Tahoma" w:cs="Tahoma"/>
          <w:sz w:val="24"/>
        </w:rPr>
      </w:pPr>
      <w:r w:rsidRPr="007A7E5F">
        <w:rPr>
          <w:rFonts w:ascii="Tahoma" w:hAnsi="Tahoma" w:cs="Tahoma"/>
          <w:sz w:val="24"/>
        </w:rPr>
        <w:t>•  Coloque el torniquete de goma algunos centímetros por encima del lugar de la punción. Pida al paciente que apriete el puño lo que ara ingurgitar las venas</w:t>
      </w:r>
    </w:p>
    <w:p w:rsidR="00B63CFC" w:rsidRPr="007A7E5F" w:rsidRDefault="00B63CFC" w:rsidP="007A7E5F">
      <w:pPr>
        <w:spacing w:after="0"/>
        <w:jc w:val="both"/>
        <w:rPr>
          <w:rFonts w:ascii="Tahoma" w:hAnsi="Tahoma" w:cs="Tahoma"/>
          <w:sz w:val="24"/>
        </w:rPr>
      </w:pPr>
      <w:r w:rsidRPr="007A7E5F">
        <w:rPr>
          <w:rFonts w:ascii="Tahoma" w:hAnsi="Tahoma" w:cs="Tahoma"/>
          <w:sz w:val="24"/>
        </w:rPr>
        <w:t>•  Se escoge una vena apropiada para la punción. Con el dedo índice de la mano izquierda, se palpa el brazo hasta encontrar la mejor vena. Se limpia la zona de punción. Con alcohol al 70 % no se debe volver a tocar dicha zona. La aguja debe apuntar en la misma dirección que la vena.</w:t>
      </w:r>
    </w:p>
    <w:p w:rsidR="00B63CFC" w:rsidRPr="007A7E5F" w:rsidRDefault="00B63CFC" w:rsidP="007A7E5F">
      <w:pPr>
        <w:spacing w:after="0"/>
        <w:jc w:val="both"/>
        <w:rPr>
          <w:rFonts w:ascii="Tahoma" w:hAnsi="Tahoma" w:cs="Tahoma"/>
          <w:sz w:val="24"/>
        </w:rPr>
      </w:pPr>
      <w:r w:rsidRPr="007A7E5F">
        <w:rPr>
          <w:rFonts w:ascii="Tahoma" w:hAnsi="Tahoma" w:cs="Tahoma"/>
          <w:sz w:val="24"/>
        </w:rPr>
        <w:t>•  La sangre comenzara a penetrar en la jeringa. Tan pronto la aguja entre en la vena se afloja el torniquete y se retira la aguja.</w:t>
      </w:r>
    </w:p>
    <w:p w:rsidR="00B63CFC" w:rsidRPr="007A7E5F" w:rsidRDefault="00B63CFC" w:rsidP="007A7E5F">
      <w:pPr>
        <w:spacing w:after="0"/>
        <w:jc w:val="both"/>
        <w:rPr>
          <w:rFonts w:ascii="Tahoma" w:hAnsi="Tahoma" w:cs="Tahoma"/>
          <w:sz w:val="24"/>
        </w:rPr>
      </w:pPr>
      <w:r w:rsidRPr="007A7E5F">
        <w:rPr>
          <w:rFonts w:ascii="Tahoma" w:hAnsi="Tahoma" w:cs="Tahoma"/>
          <w:sz w:val="24"/>
        </w:rPr>
        <w:t>•  Se coloca una torunda de algodón sobre el sitio</w:t>
      </w:r>
    </w:p>
    <w:p w:rsidR="00B63CFC" w:rsidRPr="007A7E5F" w:rsidRDefault="00B63CFC" w:rsidP="007A7E5F">
      <w:pPr>
        <w:spacing w:after="0"/>
        <w:jc w:val="both"/>
        <w:rPr>
          <w:rFonts w:ascii="Tahoma" w:hAnsi="Tahoma" w:cs="Tahoma"/>
          <w:sz w:val="24"/>
        </w:rPr>
      </w:pPr>
      <w:r w:rsidRPr="007A7E5F">
        <w:rPr>
          <w:rFonts w:ascii="Tahoma" w:hAnsi="Tahoma" w:cs="Tahoma"/>
          <w:sz w:val="24"/>
        </w:rPr>
        <w:t>•  Se coloca una torunda de algodón sobre el sitio de la punción y se comprime con los dedos de la otra mano o se flexiona el codo</w:t>
      </w:r>
    </w:p>
    <w:p w:rsidR="00B63CFC" w:rsidRPr="007A7E5F" w:rsidRDefault="00B63CFC" w:rsidP="007A7E5F">
      <w:pPr>
        <w:spacing w:after="0"/>
        <w:jc w:val="both"/>
        <w:rPr>
          <w:rFonts w:ascii="Tahoma" w:hAnsi="Tahoma" w:cs="Tahoma"/>
          <w:sz w:val="24"/>
        </w:rPr>
      </w:pPr>
      <w:r w:rsidRPr="007A7E5F">
        <w:rPr>
          <w:rFonts w:ascii="Tahoma" w:hAnsi="Tahoma" w:cs="Tahoma"/>
          <w:sz w:val="24"/>
        </w:rPr>
        <w:t>•  La sangre se vacía lentamente por las paredes de los tubos con el objeto de evitar hemólisis.</w:t>
      </w:r>
    </w:p>
    <w:p w:rsidR="006F23B5" w:rsidRPr="007A7E5F" w:rsidRDefault="00B63CFC" w:rsidP="007A7E5F">
      <w:pPr>
        <w:spacing w:after="0"/>
        <w:jc w:val="both"/>
        <w:rPr>
          <w:rFonts w:ascii="Tahoma" w:hAnsi="Tahoma" w:cs="Tahoma"/>
          <w:sz w:val="24"/>
        </w:rPr>
      </w:pPr>
      <w:r w:rsidRPr="007A7E5F">
        <w:rPr>
          <w:rFonts w:ascii="Tahoma" w:hAnsi="Tahoma" w:cs="Tahoma"/>
          <w:sz w:val="24"/>
        </w:rPr>
        <w:t>•  Se retira la aguja de la jeringa y se pasa a la sangre al tubo correspondiente con o sin anticoagulante.</w:t>
      </w:r>
    </w:p>
    <w:p w:rsidR="007A7E5F" w:rsidRDefault="007A7E5F" w:rsidP="009000C1">
      <w:pPr>
        <w:jc w:val="center"/>
        <w:rPr>
          <w:noProof/>
          <w:lang w:eastAsia="es-MX"/>
        </w:rPr>
      </w:pPr>
    </w:p>
    <w:p w:rsidR="006F23B5" w:rsidRDefault="007A7E5F" w:rsidP="009000C1">
      <w:pPr>
        <w:jc w:val="center"/>
      </w:pPr>
      <w:r>
        <w:rPr>
          <w:noProof/>
          <w:lang w:eastAsia="es-MX"/>
        </w:rPr>
        <w:drawing>
          <wp:anchor distT="0" distB="0" distL="114300" distR="114300" simplePos="0" relativeHeight="251663360" behindDoc="1" locked="0" layoutInCell="1" allowOverlap="1" wp14:anchorId="0B3E82D4" wp14:editId="782DA97F">
            <wp:simplePos x="0" y="0"/>
            <wp:positionH relativeFrom="column">
              <wp:posOffset>871220</wp:posOffset>
            </wp:positionH>
            <wp:positionV relativeFrom="paragraph">
              <wp:posOffset>2177415</wp:posOffset>
            </wp:positionV>
            <wp:extent cx="4914900" cy="1995805"/>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8307" t="19059" r="4075" b="24016"/>
                    <a:stretch/>
                  </pic:blipFill>
                  <pic:spPr bwMode="auto">
                    <a:xfrm>
                      <a:off x="0" y="0"/>
                      <a:ext cx="4914900" cy="199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231B9B06" wp14:editId="7516EAE6">
            <wp:extent cx="3552093" cy="2031023"/>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935" t="26331" r="27742" b="15740"/>
                    <a:stretch/>
                  </pic:blipFill>
                  <pic:spPr bwMode="auto">
                    <a:xfrm>
                      <a:off x="0" y="0"/>
                      <a:ext cx="3553763" cy="2031978"/>
                    </a:xfrm>
                    <a:prstGeom prst="rect">
                      <a:avLst/>
                    </a:prstGeom>
                    <a:ln>
                      <a:noFill/>
                    </a:ln>
                    <a:extLst>
                      <a:ext uri="{53640926-AAD7-44D8-BBD7-CCE9431645EC}">
                        <a14:shadowObscured xmlns:a14="http://schemas.microsoft.com/office/drawing/2010/main"/>
                      </a:ext>
                    </a:extLst>
                  </pic:spPr>
                </pic:pic>
              </a:graphicData>
            </a:graphic>
          </wp:inline>
        </w:drawing>
      </w:r>
    </w:p>
    <w:p w:rsidR="006F23B5" w:rsidRDefault="006F23B5" w:rsidP="009000C1">
      <w:pPr>
        <w:jc w:val="center"/>
      </w:pPr>
    </w:p>
    <w:p w:rsidR="00B63CFC" w:rsidRDefault="00B63CFC" w:rsidP="009000C1">
      <w:pPr>
        <w:jc w:val="center"/>
      </w:pPr>
    </w:p>
    <w:p w:rsidR="00B63CFC" w:rsidRDefault="00B63CFC" w:rsidP="009000C1">
      <w:pPr>
        <w:jc w:val="center"/>
        <w:rPr>
          <w:noProof/>
          <w:lang w:eastAsia="es-MX"/>
        </w:rPr>
      </w:pPr>
    </w:p>
    <w:p w:rsidR="00B63CFC" w:rsidRDefault="00B63CFC" w:rsidP="009000C1">
      <w:pPr>
        <w:jc w:val="center"/>
      </w:pPr>
    </w:p>
    <w:p w:rsidR="00B63CFC" w:rsidRDefault="00B63CFC" w:rsidP="009000C1">
      <w:pPr>
        <w:jc w:val="center"/>
      </w:pPr>
    </w:p>
    <w:p w:rsidR="006F23B5" w:rsidRDefault="006F23B5" w:rsidP="009000C1">
      <w:pPr>
        <w:jc w:val="center"/>
      </w:pPr>
    </w:p>
    <w:p w:rsidR="006F23B5" w:rsidRDefault="006F23B5" w:rsidP="009000C1">
      <w:pPr>
        <w:jc w:val="center"/>
      </w:pPr>
    </w:p>
    <w:p w:rsidR="006F23B5" w:rsidRDefault="006F23B5" w:rsidP="009000C1">
      <w:pPr>
        <w:jc w:val="center"/>
      </w:pPr>
    </w:p>
    <w:p w:rsidR="006F23B5" w:rsidRDefault="006F23B5" w:rsidP="009000C1">
      <w:pPr>
        <w:jc w:val="center"/>
      </w:pPr>
    </w:p>
    <w:p w:rsidR="006F23B5" w:rsidRDefault="006F23B5" w:rsidP="007A7E5F"/>
    <w:p w:rsidR="00607BCE" w:rsidRPr="009000C1" w:rsidRDefault="00E7638C" w:rsidP="009000C1">
      <w:pPr>
        <w:jc w:val="center"/>
      </w:pPr>
      <w:r w:rsidRPr="009000C1">
        <w:lastRenderedPageBreak/>
        <w:t>PRÁCTICA # 2</w:t>
      </w:r>
    </w:p>
    <w:p w:rsidR="00607BCE" w:rsidRPr="00607BCE" w:rsidRDefault="00EE3983" w:rsidP="009000C1">
      <w:pPr>
        <w:jc w:val="center"/>
        <w:rPr>
          <w:b/>
          <w:bCs/>
        </w:rPr>
      </w:pPr>
      <w:r>
        <w:rPr>
          <w:b/>
          <w:bCs/>
        </w:rPr>
        <w:t>1.-</w:t>
      </w:r>
      <w:r w:rsidR="00607BCE" w:rsidRPr="00607BCE">
        <w:rPr>
          <w:b/>
          <w:bCs/>
        </w:rPr>
        <w:t>TIPIFICACIÓN DE GRUPOS SANGUÍNEOS Y FACTOR Rh</w:t>
      </w:r>
    </w:p>
    <w:p w:rsidR="00607BCE" w:rsidRPr="00607BCE" w:rsidRDefault="00EE3983" w:rsidP="007A7E5F">
      <w:pPr>
        <w:spacing w:after="0"/>
      </w:pPr>
      <w:r>
        <w:t>2.-</w:t>
      </w:r>
      <w:hyperlink r:id="rId9" w:anchor="indice" w:history="1">
        <w:r w:rsidR="00607BCE" w:rsidRPr="00607BCE">
          <w:t>OBJETIVO.</w:t>
        </w:r>
      </w:hyperlink>
      <w:bookmarkStart w:id="0" w:name="objetivo"/>
      <w:bookmarkEnd w:id="0"/>
    </w:p>
    <w:p w:rsidR="00607BCE" w:rsidRPr="00607BCE" w:rsidRDefault="00607BCE" w:rsidP="007A7E5F">
      <w:pPr>
        <w:spacing w:after="0"/>
      </w:pPr>
      <w:r w:rsidRPr="00607BCE">
        <w:t xml:space="preserve">El alumno efectuará en el laboratorio la tipificación de grupos sanguíneos y el </w:t>
      </w:r>
      <w:r w:rsidR="009000C1">
        <w:t>factor Rh en placa</w:t>
      </w:r>
      <w:r w:rsidRPr="00607BCE">
        <w:t xml:space="preserve"> ya que estas pruebas son de vital importancia en el momento de una transfusión.</w:t>
      </w:r>
    </w:p>
    <w:p w:rsidR="00607BCE" w:rsidRPr="00607BCE" w:rsidRDefault="00EE3983" w:rsidP="007A7E5F">
      <w:pPr>
        <w:spacing w:after="0"/>
      </w:pPr>
      <w:r>
        <w:t>3.-</w:t>
      </w:r>
      <w:r w:rsidR="00607BCE" w:rsidRPr="00607BCE">
        <w:t>I</w:t>
      </w:r>
      <w:hyperlink r:id="rId10" w:anchor="indice" w:history="1">
        <w:r w:rsidR="00607BCE" w:rsidRPr="00607BCE">
          <w:t>NTRODUCCIÓN.</w:t>
        </w:r>
      </w:hyperlink>
      <w:bookmarkStart w:id="1" w:name="introduccion"/>
      <w:bookmarkEnd w:id="1"/>
    </w:p>
    <w:p w:rsidR="00607BCE" w:rsidRPr="00607BCE" w:rsidRDefault="00607BCE" w:rsidP="007A7E5F">
      <w:pPr>
        <w:spacing w:after="0"/>
      </w:pPr>
      <w:r w:rsidRPr="00607BCE">
        <w:t xml:space="preserve">El trabajo de G. </w:t>
      </w:r>
      <w:proofErr w:type="spellStart"/>
      <w:r w:rsidRPr="00607BCE">
        <w:t>Kahler</w:t>
      </w:r>
      <w:proofErr w:type="spellEnd"/>
      <w:r w:rsidRPr="00607BCE">
        <w:t xml:space="preserve"> y C. </w:t>
      </w:r>
      <w:proofErr w:type="spellStart"/>
      <w:r w:rsidRPr="00607BCE">
        <w:t>Milstein</w:t>
      </w:r>
      <w:proofErr w:type="spellEnd"/>
      <w:r w:rsidRPr="00607BCE">
        <w:t xml:space="preserve"> el año de 1975, en el departamento de Biología Molecular del Consejo de Laboratorio de Investigación Médica en Cambridge Gran Bretaña. Describen el desarrollo del primer </w:t>
      </w:r>
      <w:proofErr w:type="spellStart"/>
      <w:r w:rsidRPr="00607BCE">
        <w:t>Hibridoma</w:t>
      </w:r>
      <w:proofErr w:type="spellEnd"/>
      <w:r w:rsidR="00FB72AC">
        <w:t>*</w:t>
      </w:r>
      <w:r w:rsidR="00FB72AC" w:rsidRPr="00FB72AC">
        <w:rPr>
          <w:vertAlign w:val="superscript"/>
        </w:rPr>
        <w:t>1</w:t>
      </w:r>
      <w:r w:rsidRPr="00607BCE">
        <w:t xml:space="preserve"> productor de anticuerpos monoclonales. Esta abrió un campo en las áreas de Investigación y Diagnóstico.</w:t>
      </w:r>
    </w:p>
    <w:p w:rsidR="00607BCE" w:rsidRPr="00607BCE" w:rsidRDefault="00607BCE" w:rsidP="007A7E5F">
      <w:pPr>
        <w:spacing w:after="0"/>
      </w:pPr>
      <w:r w:rsidRPr="00607BCE">
        <w:t>La función in vitro de una célula plasmática maligna con otra normal, productora de un anticuerpo determinado (</w:t>
      </w:r>
      <w:proofErr w:type="spellStart"/>
      <w:r w:rsidRPr="00607BCE">
        <w:t>hibridoma</w:t>
      </w:r>
      <w:proofErr w:type="spellEnd"/>
      <w:r w:rsidRPr="00607BCE">
        <w:t xml:space="preserve">), origina una línea celular permanente </w:t>
      </w:r>
      <w:r w:rsidR="00FB72AC" w:rsidRPr="00607BCE">
        <w:t>capaz</w:t>
      </w:r>
      <w:r w:rsidRPr="00607BCE">
        <w:t xml:space="preserve"> de sintetizar una población perfectamente homogénea e ilimitada de dicho anticuerpo.</w:t>
      </w:r>
    </w:p>
    <w:p w:rsidR="00607BCE" w:rsidRPr="00607BCE" w:rsidRDefault="00607BCE" w:rsidP="007A7E5F">
      <w:pPr>
        <w:spacing w:after="0"/>
      </w:pPr>
      <w:r w:rsidRPr="00607BCE">
        <w:t xml:space="preserve">El reactivo </w:t>
      </w:r>
      <w:proofErr w:type="spellStart"/>
      <w:r w:rsidRPr="00607BCE">
        <w:t>hemoagrupador</w:t>
      </w:r>
      <w:proofErr w:type="spellEnd"/>
      <w:r w:rsidRPr="00607BCE">
        <w:t xml:space="preserve"> monoclonal anti - A, B, y AB se prepara inmunizando ratones con substancias específicas de grupo. Cuando la respuesta inmunológica es demostrada, y el título obtenido es el adecuado, se extrae el bazo para obtener linfocitos productores de fusión con plasmacitoma.</w:t>
      </w:r>
      <w:r w:rsidR="00703DB8">
        <w:t>*</w:t>
      </w:r>
      <w:r w:rsidR="00703DB8" w:rsidRPr="00703DB8">
        <w:rPr>
          <w:vertAlign w:val="superscript"/>
        </w:rPr>
        <w:t>2</w:t>
      </w:r>
    </w:p>
    <w:p w:rsidR="00607BCE" w:rsidRPr="00607BCE" w:rsidRDefault="00607BCE" w:rsidP="007A7E5F">
      <w:pPr>
        <w:spacing w:after="0"/>
      </w:pPr>
      <w:r w:rsidRPr="00607BCE">
        <w:t xml:space="preserve">Los linfocitos fusionados o </w:t>
      </w:r>
      <w:proofErr w:type="spellStart"/>
      <w:r w:rsidRPr="00607BCE">
        <w:t>hibridomas</w:t>
      </w:r>
      <w:proofErr w:type="spellEnd"/>
      <w:r w:rsidRPr="00607BCE">
        <w:t>, se preparan en clonas. Cada clona se prueba en su potencia y en su especificidad. Posteriormente se seleccionan clonas hasta obtener las óptimas, que se hacen crecer en medios de cultivos de tejidos, enriquecidos con “</w:t>
      </w:r>
      <w:proofErr w:type="spellStart"/>
      <w:r w:rsidRPr="00607BCE">
        <w:t>Crecel</w:t>
      </w:r>
      <w:proofErr w:type="spellEnd"/>
      <w:r w:rsidRPr="00607BCE">
        <w:t>” (marca registrada del suero fetal de ternera ORBI). El anticuerpo se obtiene del sobrenadante del medio.</w:t>
      </w:r>
    </w:p>
    <w:p w:rsidR="00607BCE" w:rsidRPr="00607BCE" w:rsidRDefault="00607BCE" w:rsidP="007A7E5F">
      <w:pPr>
        <w:spacing w:after="0"/>
      </w:pPr>
      <w:r w:rsidRPr="00607BCE">
        <w:t xml:space="preserve">En 1900 </w:t>
      </w:r>
      <w:proofErr w:type="spellStart"/>
      <w:r w:rsidRPr="00607BCE">
        <w:t>Landsteiner</w:t>
      </w:r>
      <w:proofErr w:type="spellEnd"/>
      <w:r w:rsidRPr="00607BCE">
        <w:t xml:space="preserve"> descubrió la aglutinación que se producía al mezclar los glóbulos rojos de un sujeto con los de otro.</w:t>
      </w:r>
    </w:p>
    <w:p w:rsidR="00607BCE" w:rsidRPr="00607BCE" w:rsidRDefault="00607BCE" w:rsidP="007A7E5F">
      <w:pPr>
        <w:spacing w:after="0"/>
      </w:pPr>
      <w:r w:rsidRPr="00607BCE">
        <w:t xml:space="preserve">Este descubrimiento lleva a </w:t>
      </w:r>
      <w:proofErr w:type="spellStart"/>
      <w:r w:rsidRPr="00607BCE">
        <w:t>Landsteiner</w:t>
      </w:r>
      <w:proofErr w:type="spellEnd"/>
      <w:r w:rsidRPr="00607BCE">
        <w:t xml:space="preserve"> a aceptar la existencia de tres fenotipos distintos en 1902.</w:t>
      </w:r>
    </w:p>
    <w:p w:rsidR="00607BCE" w:rsidRPr="00607BCE" w:rsidRDefault="00607BCE" w:rsidP="007A7E5F">
      <w:pPr>
        <w:spacing w:after="0"/>
      </w:pPr>
      <w:r w:rsidRPr="00607BCE">
        <w:t xml:space="preserve">Estas clasificaciones mencionadas reciben en la actualidad el nombre de sistema de grupo sanguíneo ABO. </w:t>
      </w:r>
      <w:proofErr w:type="spellStart"/>
      <w:r w:rsidRPr="00607BCE">
        <w:t>Landerstein</w:t>
      </w:r>
      <w:proofErr w:type="spellEnd"/>
      <w:r w:rsidRPr="00607BCE">
        <w:t xml:space="preserve"> vio también que solamente se necesitaban dos antígenos para explicar los 4 grupos:</w:t>
      </w:r>
    </w:p>
    <w:p w:rsidR="00607BCE" w:rsidRPr="00607BCE" w:rsidRDefault="00607BCE" w:rsidP="007A7E5F">
      <w:pPr>
        <w:spacing w:after="0"/>
      </w:pPr>
      <w:r w:rsidRPr="00607BCE">
        <w:t>El primero tenía un antígeno (A), el segundo tenía el otro (B), el tercero tenía los dos (AB) y el cuarto tenía ningún antígeno (O).</w:t>
      </w:r>
    </w:p>
    <w:p w:rsidR="00607BCE" w:rsidRPr="00607BCE" w:rsidRDefault="00607BCE" w:rsidP="007A7E5F">
      <w:pPr>
        <w:spacing w:after="0"/>
      </w:pPr>
      <w:r w:rsidRPr="00607BCE">
        <w:t>            El sistema ABO es el único en el sentido en que la sangre de los individuos a los que les falta uno o ambos antígenos A/B posee el (los) anticuerpo(s) correspondiente(s). La presencia de solución salina concentrada que aglutine los anticuerpos anti – A y/o anti – B en plasma o en suero</w:t>
      </w:r>
      <w:r w:rsidR="00737218">
        <w:t xml:space="preserve"> </w:t>
      </w:r>
      <w:r w:rsidR="009000C1" w:rsidRPr="00607BCE">
        <w:t>adulto</w:t>
      </w:r>
      <w:r w:rsidRPr="00607BCE">
        <w:t xml:space="preserve"> convierte al sistema ABO en el sistema de grupos sanguíneos más importante en la terapia de transfusión.</w:t>
      </w:r>
    </w:p>
    <w:p w:rsidR="007A7E5F" w:rsidRPr="00607BCE" w:rsidRDefault="00607BCE" w:rsidP="007A7E5F">
      <w:pPr>
        <w:spacing w:after="0"/>
      </w:pPr>
      <w:r w:rsidRPr="00607BCE">
        <w:t>            También reconoció la relación recíproca en una muestra de sangre entre los anticuerpos del suero y los antígenos de los glóbulos rojos. En cada caso son muy pocas excepciones solamente se encuentran anticuerpos anti-A, anti-B, o ambos en el suero cuando los glóbulos rojos carecen del antígeno correspondiente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3"/>
        <w:gridCol w:w="3114"/>
        <w:gridCol w:w="3114"/>
      </w:tblGrid>
      <w:tr w:rsidR="00607BCE" w:rsidRPr="00607BCE" w:rsidTr="007A7E5F">
        <w:trPr>
          <w:trHeight w:val="56"/>
          <w:tblCellSpacing w:w="0" w:type="dxa"/>
        </w:trPr>
        <w:tc>
          <w:tcPr>
            <w:tcW w:w="3103"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t>GRUPO SANGUÍNEO</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t>ANTIGENO DEL GLÓBULO ROJO</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t>ANTICUERPO DEL SUERO</w:t>
            </w:r>
          </w:p>
        </w:tc>
      </w:tr>
      <w:tr w:rsidR="00607BCE" w:rsidRPr="00A2168B" w:rsidTr="007A7E5F">
        <w:trPr>
          <w:trHeight w:val="200"/>
          <w:tblCellSpacing w:w="0" w:type="dxa"/>
        </w:trPr>
        <w:tc>
          <w:tcPr>
            <w:tcW w:w="3103"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t>“O”</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t>O</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pPr>
              <w:rPr>
                <w:lang w:val="en-US"/>
              </w:rPr>
            </w:pPr>
            <w:r w:rsidRPr="00607BCE">
              <w:rPr>
                <w:lang w:val="en-US"/>
              </w:rPr>
              <w:t>Anti-A y Anti-B</w:t>
            </w:r>
          </w:p>
        </w:tc>
      </w:tr>
      <w:tr w:rsidR="00607BCE" w:rsidRPr="00607BCE" w:rsidTr="007A7E5F">
        <w:trPr>
          <w:trHeight w:val="200"/>
          <w:tblCellSpacing w:w="0" w:type="dxa"/>
        </w:trPr>
        <w:tc>
          <w:tcPr>
            <w:tcW w:w="3103"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t>“A”</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rPr>
                <w:lang w:val="en-US"/>
              </w:rPr>
              <w:t>A</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rPr>
                <w:lang w:val="en-US"/>
              </w:rPr>
              <w:t>Anti-B</w:t>
            </w:r>
          </w:p>
        </w:tc>
      </w:tr>
      <w:tr w:rsidR="00607BCE" w:rsidRPr="00607BCE" w:rsidTr="007A7E5F">
        <w:trPr>
          <w:trHeight w:val="200"/>
          <w:tblCellSpacing w:w="0" w:type="dxa"/>
        </w:trPr>
        <w:tc>
          <w:tcPr>
            <w:tcW w:w="3103"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t>“B”</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rPr>
                <w:lang w:val="en-US"/>
              </w:rPr>
              <w:t>B</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rPr>
                <w:lang w:val="en-US"/>
              </w:rPr>
              <w:t>Anti-A</w:t>
            </w:r>
          </w:p>
        </w:tc>
      </w:tr>
      <w:tr w:rsidR="00607BCE" w:rsidRPr="00607BCE" w:rsidTr="007A7E5F">
        <w:trPr>
          <w:trHeight w:val="200"/>
          <w:tblCellSpacing w:w="0" w:type="dxa"/>
        </w:trPr>
        <w:tc>
          <w:tcPr>
            <w:tcW w:w="3103"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rPr>
                <w:lang w:val="en-US"/>
              </w:rPr>
              <w:t>“AB”</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r w:rsidRPr="00607BCE">
              <w:rPr>
                <w:lang w:val="en-US"/>
              </w:rPr>
              <w:t>AB</w:t>
            </w:r>
          </w:p>
        </w:tc>
        <w:tc>
          <w:tcPr>
            <w:tcW w:w="3114" w:type="dxa"/>
            <w:tcBorders>
              <w:top w:val="outset" w:sz="6" w:space="0" w:color="auto"/>
              <w:left w:val="outset" w:sz="6" w:space="0" w:color="auto"/>
              <w:bottom w:val="outset" w:sz="6" w:space="0" w:color="auto"/>
              <w:right w:val="outset" w:sz="6" w:space="0" w:color="auto"/>
            </w:tcBorders>
            <w:hideMark/>
          </w:tcPr>
          <w:p w:rsidR="00C72825" w:rsidRPr="00607BCE" w:rsidRDefault="00607BCE" w:rsidP="00607BCE">
            <w:proofErr w:type="spellStart"/>
            <w:r w:rsidRPr="00607BCE">
              <w:rPr>
                <w:lang w:val="en-US"/>
              </w:rPr>
              <w:t>Ninguno</w:t>
            </w:r>
            <w:proofErr w:type="spellEnd"/>
          </w:p>
        </w:tc>
      </w:tr>
    </w:tbl>
    <w:p w:rsidR="00607BCE" w:rsidRPr="00607BCE" w:rsidRDefault="00607BCE" w:rsidP="007A7E5F">
      <w:pPr>
        <w:spacing w:after="0"/>
      </w:pPr>
      <w:r w:rsidRPr="00607BCE">
        <w:t xml:space="preserve">En 1939, </w:t>
      </w:r>
      <w:proofErr w:type="spellStart"/>
      <w:r w:rsidRPr="00607BCE">
        <w:t>Lavine</w:t>
      </w:r>
      <w:proofErr w:type="spellEnd"/>
      <w:r w:rsidRPr="00607BCE">
        <w:t xml:space="preserve"> y </w:t>
      </w:r>
      <w:proofErr w:type="spellStart"/>
      <w:r w:rsidRPr="00607BCE">
        <w:t>Stetson</w:t>
      </w:r>
      <w:proofErr w:type="spellEnd"/>
      <w:r w:rsidRPr="00607BCE">
        <w:t xml:space="preserve"> descubrieron que el suero de una mujer que dio a luz a un óbito aglutinaba eritrocitos de 85% de adultos humanos. Al siguiente año </w:t>
      </w:r>
      <w:proofErr w:type="spellStart"/>
      <w:r w:rsidRPr="00607BCE">
        <w:t>Landsteiner</w:t>
      </w:r>
      <w:proofErr w:type="spellEnd"/>
      <w:r w:rsidRPr="00607BCE">
        <w:t xml:space="preserve"> y Wiener informaron sobre un sorprendente descubrimiento de que el suero de conejos y cobayos inmunizados con glóbulos rojos de mono, sino los de la mayoría de los </w:t>
      </w:r>
      <w:r w:rsidRPr="00607BCE">
        <w:lastRenderedPageBreak/>
        <w:t xml:space="preserve">neoyorquinos caucásicos. Los individuos cuyos glóbulos rojos se aglutinaban con estos sueros, se dominaron “Rh positivo” y los otros “Rh negativos. Estas observaciones sugirieron la presencia de un nuevo sistema de antígeno </w:t>
      </w:r>
      <w:proofErr w:type="gramStart"/>
      <w:r w:rsidRPr="00607BCE">
        <w:t>de los glóbulos rojo</w:t>
      </w:r>
      <w:proofErr w:type="gramEnd"/>
      <w:r w:rsidRPr="00607BCE">
        <w:t xml:space="preserve"> y estimularon la investigación inmediata de la naturaleza de las reacciones </w:t>
      </w:r>
      <w:proofErr w:type="spellStart"/>
      <w:r w:rsidRPr="00607BCE">
        <w:t>transfucionales</w:t>
      </w:r>
      <w:proofErr w:type="spellEnd"/>
      <w:r w:rsidRPr="00607BCE">
        <w:t xml:space="preserve"> </w:t>
      </w:r>
      <w:proofErr w:type="spellStart"/>
      <w:r w:rsidRPr="00607BCE">
        <w:t>intragrupales</w:t>
      </w:r>
      <w:proofErr w:type="spellEnd"/>
      <w:r w:rsidRPr="00607BCE">
        <w:t xml:space="preserve">, previamente inexplicables y las incompatibilidades entre madre e hijo, que producen la </w:t>
      </w:r>
      <w:proofErr w:type="spellStart"/>
      <w:r w:rsidRPr="00607BCE">
        <w:t>eritroblastosis</w:t>
      </w:r>
      <w:proofErr w:type="spellEnd"/>
      <w:r w:rsidRPr="00607BCE">
        <w:t xml:space="preserve"> fetal.</w:t>
      </w:r>
    </w:p>
    <w:p w:rsidR="00607BCE" w:rsidRPr="00607BCE" w:rsidRDefault="00EE3983" w:rsidP="007A7E5F">
      <w:pPr>
        <w:spacing w:after="0"/>
      </w:pPr>
      <w:r>
        <w:t xml:space="preserve">4.- </w:t>
      </w:r>
      <w:hyperlink r:id="rId11" w:anchor="indice" w:history="1">
        <w:r w:rsidR="00607BCE" w:rsidRPr="00607BCE">
          <w:t>FUNDAMENTO.</w:t>
        </w:r>
      </w:hyperlink>
      <w:bookmarkStart w:id="2" w:name="fundamento"/>
      <w:bookmarkEnd w:id="2"/>
    </w:p>
    <w:p w:rsidR="00607BCE" w:rsidRPr="00607BCE" w:rsidRDefault="00607BCE" w:rsidP="007A7E5F">
      <w:pPr>
        <w:spacing w:after="0"/>
      </w:pPr>
      <w:r w:rsidRPr="00607BCE">
        <w:t xml:space="preserve">La aglutinación de eritrocitos, por un antisuero específico es un resultado positivo, que indica la presencia del correspondiente antígeno en la membrana de los eritrocitos estudiados. La ausencia de </w:t>
      </w:r>
      <w:proofErr w:type="spellStart"/>
      <w:r w:rsidRPr="00607BCE">
        <w:t>aglutanación</w:t>
      </w:r>
      <w:proofErr w:type="spellEnd"/>
      <w:r w:rsidRPr="00607BCE">
        <w:t xml:space="preserve"> indica un resultado negativo, es decir, el antígeno correspondiente no se encuentra en la membrana de los eritrocitos.</w:t>
      </w:r>
    </w:p>
    <w:p w:rsidR="00EE3983" w:rsidRPr="00607BCE" w:rsidRDefault="00EE3983" w:rsidP="007A7E5F">
      <w:pPr>
        <w:spacing w:after="0"/>
      </w:pPr>
      <w:r>
        <w:t xml:space="preserve">5.- </w:t>
      </w:r>
      <w:bookmarkStart w:id="3" w:name="material"/>
      <w:bookmarkEnd w:id="3"/>
      <w:r>
        <w:t>Material y reactivos</w:t>
      </w:r>
    </w:p>
    <w:p w:rsidR="00607BCE" w:rsidRPr="00607BCE" w:rsidRDefault="00607BCE" w:rsidP="007A7E5F">
      <w:pPr>
        <w:spacing w:after="0"/>
      </w:pPr>
      <w:r w:rsidRPr="00607BCE">
        <w:t>.      Placas excavadas de porcelana o de vidrio.</w:t>
      </w:r>
    </w:p>
    <w:p w:rsidR="00607BCE" w:rsidRPr="00607BCE" w:rsidRDefault="00607BCE" w:rsidP="007A7E5F">
      <w:pPr>
        <w:spacing w:after="0"/>
      </w:pPr>
      <w:r w:rsidRPr="00607BCE">
        <w:t>.      Aplicadores de madera.</w:t>
      </w:r>
    </w:p>
    <w:p w:rsidR="00607BCE" w:rsidRPr="00607BCE" w:rsidRDefault="00607BCE" w:rsidP="007A7E5F">
      <w:pPr>
        <w:spacing w:after="0"/>
      </w:pPr>
      <w:r w:rsidRPr="00607BCE">
        <w:t>.      Lancetas estériles.</w:t>
      </w:r>
    </w:p>
    <w:p w:rsidR="00607BCE" w:rsidRPr="00607BCE" w:rsidRDefault="00607BCE" w:rsidP="007A7E5F">
      <w:pPr>
        <w:spacing w:after="0"/>
      </w:pPr>
      <w:r w:rsidRPr="00607BCE">
        <w:t>.      Torundas alcoholadas.</w:t>
      </w:r>
    </w:p>
    <w:p w:rsidR="00EE3983" w:rsidRPr="00EE3983" w:rsidRDefault="00607BCE" w:rsidP="007A7E5F">
      <w:pPr>
        <w:spacing w:after="0"/>
        <w:rPr>
          <w:lang w:val="en-US"/>
        </w:rPr>
      </w:pPr>
      <w:r w:rsidRPr="00EE3983">
        <w:rPr>
          <w:lang w:val="en-US"/>
        </w:rPr>
        <w:t>.      </w:t>
      </w:r>
      <w:proofErr w:type="spellStart"/>
      <w:r w:rsidRPr="00EE3983">
        <w:rPr>
          <w:lang w:val="en-US"/>
        </w:rPr>
        <w:t>Antisuero</w:t>
      </w:r>
      <w:proofErr w:type="spellEnd"/>
      <w:r w:rsidRPr="00EE3983">
        <w:rPr>
          <w:lang w:val="en-US"/>
        </w:rPr>
        <w:t xml:space="preserve"> (anti – A, anti - B,</w:t>
      </w:r>
      <w:proofErr w:type="gramStart"/>
      <w:r w:rsidRPr="00EE3983">
        <w:rPr>
          <w:lang w:val="en-US"/>
        </w:rPr>
        <w:t>  anti</w:t>
      </w:r>
      <w:proofErr w:type="gramEnd"/>
      <w:r w:rsidRPr="00EE3983">
        <w:rPr>
          <w:lang w:val="en-US"/>
        </w:rPr>
        <w:t xml:space="preserve"> – AB y anti - D o Rh)</w:t>
      </w:r>
    </w:p>
    <w:p w:rsidR="00607BCE" w:rsidRPr="00607BCE" w:rsidRDefault="00EE3983" w:rsidP="007A7E5F">
      <w:pPr>
        <w:spacing w:after="0"/>
      </w:pPr>
      <w:r>
        <w:t xml:space="preserve">.     </w:t>
      </w:r>
      <w:r w:rsidR="009000C1">
        <w:t xml:space="preserve">Sangre total </w:t>
      </w:r>
    </w:p>
    <w:p w:rsidR="00607BCE" w:rsidRPr="00607BCE" w:rsidRDefault="00EE3983" w:rsidP="007A7E5F">
      <w:pPr>
        <w:spacing w:after="0"/>
      </w:pPr>
      <w:r>
        <w:t xml:space="preserve">6.- </w:t>
      </w:r>
      <w:hyperlink r:id="rId12" w:anchor="indice" w:history="1">
        <w:r w:rsidR="00607BCE" w:rsidRPr="00607BCE">
          <w:t>PROCEDIMIENTO</w:t>
        </w:r>
      </w:hyperlink>
      <w:bookmarkStart w:id="4" w:name="procedimiento"/>
      <w:bookmarkEnd w:id="4"/>
    </w:p>
    <w:p w:rsidR="00607BCE" w:rsidRPr="00607BCE" w:rsidRDefault="00607BCE" w:rsidP="007A7E5F">
      <w:pPr>
        <w:spacing w:after="0"/>
      </w:pPr>
      <w:r w:rsidRPr="00607BCE">
        <w:t>            Las pruebas de grupo sanguíneo necesitan cierta delicadeza de mano y una gran cantidad de concentración mental.</w:t>
      </w:r>
    </w:p>
    <w:p w:rsidR="00607BCE" w:rsidRPr="00607BCE" w:rsidRDefault="00607BCE" w:rsidP="007A7E5F">
      <w:pPr>
        <w:spacing w:after="0"/>
      </w:pPr>
      <w:r w:rsidRPr="00607BCE">
        <w:t>            La importancia de colocar el suero correctamente y las células correctas en el tubo correcto y registrar correctamente los resultados, es casi demasiado obvio como para mencionarlo. Sin embargo para lograr precisión parece necesario efectuar un largo aprendizaje.</w:t>
      </w:r>
    </w:p>
    <w:p w:rsidR="00607BCE" w:rsidRPr="00607BCE" w:rsidRDefault="00607BCE" w:rsidP="007A7E5F">
      <w:pPr>
        <w:spacing w:after="0"/>
      </w:pPr>
      <w:r w:rsidRPr="00607BCE">
        <w:rPr>
          <w:b/>
          <w:bCs/>
        </w:rPr>
        <w:t xml:space="preserve">MÉTODO EN PLACA </w:t>
      </w:r>
      <w:proofErr w:type="gramStart"/>
      <w:r w:rsidRPr="00607BCE">
        <w:rPr>
          <w:b/>
          <w:bCs/>
        </w:rPr>
        <w:t>( DIRECTA</w:t>
      </w:r>
      <w:proofErr w:type="gramEnd"/>
      <w:r w:rsidRPr="00607BCE">
        <w:rPr>
          <w:b/>
          <w:bCs/>
        </w:rPr>
        <w:t>).</w:t>
      </w:r>
    </w:p>
    <w:p w:rsidR="00607BCE" w:rsidRPr="00607BCE" w:rsidRDefault="00607BCE" w:rsidP="007A7E5F">
      <w:pPr>
        <w:spacing w:after="0"/>
      </w:pPr>
      <w:r w:rsidRPr="00607BCE">
        <w:t>A)    Preparar una suspensión de glóbulos rojos al 2% en solución salina fisiológica, (al 0.85% o 0.9%), o bien proceder con sangre total.</w:t>
      </w:r>
    </w:p>
    <w:p w:rsidR="00607BCE" w:rsidRPr="00607BCE" w:rsidRDefault="00607BCE" w:rsidP="007A7E5F">
      <w:pPr>
        <w:spacing w:after="0"/>
      </w:pPr>
      <w:r w:rsidRPr="00607BCE">
        <w:t xml:space="preserve">B)    Colocar una gota de sangre total en cuatro </w:t>
      </w:r>
      <w:r w:rsidR="00EE3983" w:rsidRPr="00607BCE">
        <w:t>excavaciones</w:t>
      </w:r>
      <w:r w:rsidRPr="00607BCE">
        <w:t xml:space="preserve"> de placa, previamente marcadas para no confundirse.</w:t>
      </w:r>
    </w:p>
    <w:p w:rsidR="00607BCE" w:rsidRPr="00607BCE" w:rsidRDefault="00607BCE" w:rsidP="007A7E5F">
      <w:pPr>
        <w:spacing w:after="0"/>
      </w:pPr>
      <w:r w:rsidRPr="00607BCE">
        <w:t>C)    Añada a la primera gota de sangre una gota de suero anti - A, a la segunda, una gota de suero anti - B, a la tercera una gota de suero anti - AB y a la cuarta una gota de suero anti – D o Rh.</w:t>
      </w:r>
    </w:p>
    <w:p w:rsidR="00607BCE" w:rsidRPr="00607BCE" w:rsidRDefault="00607BCE" w:rsidP="007A7E5F">
      <w:pPr>
        <w:spacing w:after="0"/>
      </w:pPr>
      <w:r w:rsidRPr="00607BCE">
        <w:t>D)    Con ayuda de un aplicador de madera mezclar cada uno de ellos (debe emplearse, un segmento de aplicador para cada uno).</w:t>
      </w:r>
    </w:p>
    <w:p w:rsidR="00607BCE" w:rsidRPr="00607BCE" w:rsidRDefault="00607BCE" w:rsidP="007A7E5F">
      <w:pPr>
        <w:spacing w:after="0"/>
      </w:pPr>
      <w:r w:rsidRPr="00607BCE">
        <w:t>E)    Agite suavemente cada una de las placas o la placa con movimientos suaves y circulares de balanceo durante 30 segundos aproximadamente.</w:t>
      </w:r>
    </w:p>
    <w:p w:rsidR="00607BCE" w:rsidRPr="00607BCE" w:rsidRDefault="00607BCE" w:rsidP="007A7E5F">
      <w:pPr>
        <w:spacing w:after="0"/>
      </w:pPr>
      <w:r w:rsidRPr="00607BCE">
        <w:t>F)     Lea el resultado; si hay duda, deje reposar la placa por un minuto aproximadamente y lea nuevamente la hemoaglutinación.</w:t>
      </w:r>
    </w:p>
    <w:p w:rsidR="00607BCE" w:rsidRPr="00607BCE" w:rsidRDefault="00607BCE" w:rsidP="007A7E5F">
      <w:pPr>
        <w:spacing w:after="0"/>
      </w:pPr>
      <w:r w:rsidRPr="00607BCE">
        <w:rPr>
          <w:b/>
          <w:bCs/>
        </w:rPr>
        <w:t>INTERPRETACIÓN:</w:t>
      </w:r>
    </w:p>
    <w:p w:rsidR="00607BCE" w:rsidRPr="00607BCE" w:rsidRDefault="00607BCE" w:rsidP="007A7E5F">
      <w:pPr>
        <w:spacing w:after="0"/>
      </w:pPr>
      <w:r w:rsidRPr="00607BCE">
        <w:t>            Si al reaccionar el Rh o anti-D con la sangre del paciente presentando aglutinación indicará que la muestra en positiva, es decir Rh positivo.</w:t>
      </w:r>
    </w:p>
    <w:p w:rsidR="00607BCE" w:rsidRPr="00607BCE" w:rsidRDefault="00607BCE" w:rsidP="007A7E5F">
      <w:pPr>
        <w:spacing w:after="0"/>
      </w:pPr>
      <w:r w:rsidRPr="00607BCE">
        <w:t>            En caso contrario cuando no presente aglutinación la sangre será negativa, es decir Rh negativa.</w:t>
      </w:r>
    </w:p>
    <w:p w:rsidR="00607BCE" w:rsidRPr="00607BCE" w:rsidRDefault="00607BCE" w:rsidP="007A7E5F">
      <w:pPr>
        <w:spacing w:after="0"/>
      </w:pPr>
      <w:r w:rsidRPr="00607BCE">
        <w:t>Hay una prueba que se realiza para poner de manifiesto los anticuerpos presentes en cada uno de los grupos sanguíneos, a esta prueba se le llama </w:t>
      </w:r>
      <w:r w:rsidRPr="00607BCE">
        <w:rPr>
          <w:b/>
          <w:bCs/>
        </w:rPr>
        <w:t>PRUEBA INVERSA</w:t>
      </w:r>
      <w:r w:rsidRPr="00607BCE">
        <w:t xml:space="preserve"> DE ABO, esta prueba se realiza con suero del paciente (2 gotas) y glóbulos rojos conocidos al 2% en solución salina al 0.9% (1 gota), </w:t>
      </w:r>
      <w:proofErr w:type="spellStart"/>
      <w:r w:rsidRPr="00607BCE">
        <w:t>gr.A</w:t>
      </w:r>
      <w:proofErr w:type="spellEnd"/>
      <w:r w:rsidRPr="00607BCE">
        <w:t>, gr B,  gr AB y gr O, se centrifuga a 1000r.p.m. durante 1 minuto.</w:t>
      </w:r>
    </w:p>
    <w:p w:rsidR="00607BCE" w:rsidRPr="00607BCE" w:rsidRDefault="009000C1" w:rsidP="007A7E5F">
      <w:pPr>
        <w:spacing w:after="0"/>
      </w:pPr>
      <w:r>
        <w:t xml:space="preserve">Se </w:t>
      </w:r>
      <w:proofErr w:type="spellStart"/>
      <w:r>
        <w:t>resuspende</w:t>
      </w:r>
      <w:proofErr w:type="spellEnd"/>
      <w:r>
        <w:t xml:space="preserve"> y se observa la pr</w:t>
      </w:r>
      <w:r w:rsidR="00607BCE" w:rsidRPr="00607BCE">
        <w:t>esencia o ausencia de aglutinación.</w:t>
      </w:r>
    </w:p>
    <w:p w:rsidR="00607BCE" w:rsidRPr="00607BCE" w:rsidRDefault="00607BCE" w:rsidP="00607BCE">
      <w:r w:rsidRPr="00607BCE">
        <w:rPr>
          <w:b/>
          <w:bCs/>
        </w:rPr>
        <w:t>INTERPRETACIÓN.</w:t>
      </w:r>
    </w:p>
    <w:p w:rsidR="00607BCE" w:rsidRPr="00607BCE" w:rsidRDefault="00607BCE" w:rsidP="007A7E5F">
      <w:pPr>
        <w:spacing w:after="0"/>
      </w:pPr>
      <w:r w:rsidRPr="00607BCE">
        <w:lastRenderedPageBreak/>
        <w:t>            Si el grupo sanguíneo del paciente es “A” presentará aglutinación en “A” y en “AB”, y si el grupo sanguíneo es “O” no presentara aglutinación en “A ni en B”, ya que “A” presenta anticuerpos contra “B” y “B presentará anticuerpos contra “A” por lo tanto el grupo “O” presentará anticuerpos contra ambos.</w:t>
      </w:r>
    </w:p>
    <w:p w:rsidR="00607BCE" w:rsidRPr="00607BCE" w:rsidRDefault="00EE3983" w:rsidP="007A7E5F">
      <w:pPr>
        <w:spacing w:after="0"/>
      </w:pPr>
      <w:r>
        <w:rPr>
          <w:b/>
          <w:bCs/>
        </w:rPr>
        <w:t xml:space="preserve">7.-  </w:t>
      </w:r>
      <w:r w:rsidR="00607BCE" w:rsidRPr="00607BCE">
        <w:rPr>
          <w:b/>
          <w:bCs/>
        </w:rPr>
        <w:t>TRABAJO DEL ALUMNO:</w:t>
      </w:r>
      <w:r>
        <w:rPr>
          <w:b/>
          <w:bCs/>
        </w:rPr>
        <w:t>( RESULTADOS)</w:t>
      </w:r>
    </w:p>
    <w:p w:rsidR="00607BCE" w:rsidRPr="00607BCE" w:rsidRDefault="00607BCE" w:rsidP="007A7E5F">
      <w:pPr>
        <w:spacing w:after="0"/>
      </w:pPr>
      <w:r w:rsidRPr="00607BCE">
        <w:t>Ø      Realizar una tabla con todos los grupos sanguíneos del grupo</w:t>
      </w:r>
    </w:p>
    <w:p w:rsidR="00607BCE" w:rsidRPr="00607BCE" w:rsidRDefault="00607BCE" w:rsidP="007A7E5F">
      <w:pPr>
        <w:spacing w:after="0"/>
      </w:pPr>
      <w:r w:rsidRPr="00607BCE">
        <w:t>Ø      Reportará los porcentajes de grupo sanguíneos obtenidos en todo el grupo</w:t>
      </w:r>
    </w:p>
    <w:p w:rsidR="00607BCE" w:rsidRPr="00607BCE" w:rsidRDefault="00EE3983" w:rsidP="007A7E5F">
      <w:pPr>
        <w:spacing w:after="0"/>
      </w:pPr>
      <w:r>
        <w:t xml:space="preserve">8.-  </w:t>
      </w:r>
      <w:hyperlink r:id="rId13" w:anchor="indice" w:history="1">
        <w:r w:rsidR="00607BCE" w:rsidRPr="00607BCE">
          <w:t>CUESTIONARIO.</w:t>
        </w:r>
      </w:hyperlink>
      <w:bookmarkStart w:id="5" w:name="cuestionario"/>
      <w:bookmarkEnd w:id="5"/>
      <w:r>
        <w:t>(DISCUSIÓN DE RESULTADOS)</w:t>
      </w:r>
    </w:p>
    <w:p w:rsidR="00607BCE" w:rsidRPr="00607BCE" w:rsidRDefault="00607BCE" w:rsidP="007A7E5F">
      <w:pPr>
        <w:spacing w:after="0"/>
      </w:pPr>
      <w:r w:rsidRPr="00607BCE">
        <w:t>1.      ¿Qué son los grupos sanguíneos?</w:t>
      </w:r>
    </w:p>
    <w:p w:rsidR="00607BCE" w:rsidRPr="00607BCE" w:rsidRDefault="00607BCE" w:rsidP="007A7E5F">
      <w:pPr>
        <w:spacing w:after="0"/>
      </w:pPr>
      <w:r w:rsidRPr="00607BCE">
        <w:t>2.      ¿Qué es el factor Rh?</w:t>
      </w:r>
    </w:p>
    <w:p w:rsidR="00607BCE" w:rsidRPr="00607BCE" w:rsidRDefault="00607BCE" w:rsidP="007A7E5F">
      <w:pPr>
        <w:spacing w:after="0"/>
      </w:pPr>
      <w:r w:rsidRPr="00607BCE">
        <w:t>3.      ¿Qué otros sistemas de grupos sanguíneos diferentes al ABO y el factor Rh se conocen?</w:t>
      </w:r>
    </w:p>
    <w:p w:rsidR="00607BCE" w:rsidRPr="00607BCE" w:rsidRDefault="00607BCE" w:rsidP="007A7E5F">
      <w:pPr>
        <w:spacing w:after="0"/>
      </w:pPr>
      <w:r w:rsidRPr="00607BCE">
        <w:t>4.      ¿Qué importancia tiene la tipificación de grupos sanguíneos?</w:t>
      </w:r>
    </w:p>
    <w:p w:rsidR="00607BCE" w:rsidRPr="00607BCE" w:rsidRDefault="00607BCE" w:rsidP="007A7E5F">
      <w:pPr>
        <w:spacing w:after="0"/>
      </w:pPr>
      <w:r w:rsidRPr="00607BCE">
        <w:t>5.      ¿Qué importancia tiene la prueba D</w:t>
      </w:r>
      <w:r w:rsidRPr="00607BCE">
        <w:rPr>
          <w:vertAlign w:val="superscript"/>
        </w:rPr>
        <w:t>U</w:t>
      </w:r>
      <w:r w:rsidRPr="00607BCE">
        <w:t> en la tipificación de grupos sanguíneos?</w:t>
      </w:r>
    </w:p>
    <w:p w:rsidR="00EE3983" w:rsidRDefault="00EE3983" w:rsidP="007A7E5F">
      <w:pPr>
        <w:spacing w:after="0"/>
      </w:pPr>
      <w:r>
        <w:t>9.-  CONCLUSIÓN</w:t>
      </w:r>
    </w:p>
    <w:p w:rsidR="00EE3983" w:rsidRDefault="00EE3983" w:rsidP="007A7E5F">
      <w:pPr>
        <w:spacing w:after="0"/>
      </w:pPr>
      <w:r>
        <w:t>10.-  BIBLIOGRAFÍA</w:t>
      </w:r>
    </w:p>
    <w:p w:rsidR="00EE3983" w:rsidRDefault="00EE3983" w:rsidP="007A7E5F">
      <w:pPr>
        <w:spacing w:after="0"/>
      </w:pPr>
    </w:p>
    <w:p w:rsidR="00ED13B4" w:rsidRDefault="00FB72AC" w:rsidP="007A7E5F">
      <w:pPr>
        <w:spacing w:after="0"/>
      </w:pPr>
      <w:r>
        <w:t>*1.-</w:t>
      </w:r>
      <w:r w:rsidRPr="00FB72AC">
        <w:t xml:space="preserve"> Un </w:t>
      </w:r>
      <w:proofErr w:type="spellStart"/>
      <w:r w:rsidRPr="00FB72AC">
        <w:t>hibridoma</w:t>
      </w:r>
      <w:proofErr w:type="spellEnd"/>
      <w:r w:rsidRPr="00FB72AC">
        <w:t xml:space="preserve"> es una línea celular híbrida obtenida mediante la fusión de un linfocito B productor del anticuerpo específico de interés, con una línea celular de mieloma que no produce inmunoglobulina propia. Se obtiene así una línea celular inmortal capaz de expresar el anticuerpo de interés, que se aísla del sobrenadante.</w:t>
      </w:r>
    </w:p>
    <w:p w:rsidR="00703DB8" w:rsidRDefault="00703DB8" w:rsidP="007A7E5F">
      <w:pPr>
        <w:spacing w:after="0"/>
      </w:pPr>
      <w:r>
        <w:t>*2.-</w:t>
      </w:r>
      <w:r w:rsidRPr="00703DB8">
        <w:t xml:space="preserve"> Es un conjunto de células plasmáticas que se encuentran en una sola localización en la médula ósea, en el tejido blando o en el hueso.</w:t>
      </w:r>
    </w:p>
    <w:p w:rsidR="004D0C38" w:rsidRDefault="00703DB8" w:rsidP="008F2870">
      <w:pPr>
        <w:spacing w:after="0"/>
      </w:pPr>
      <w:r w:rsidRPr="00703DB8">
        <w:t>Plasma: Es el líquido de la sangre en el cuál los glóbulos rojos, los glóbulos blancos y las plaquetas se hallan suspendidas.</w:t>
      </w:r>
    </w:p>
    <w:p w:rsidR="004D0C38" w:rsidRDefault="004D0C38">
      <w:r>
        <w:t xml:space="preserve">Como </w:t>
      </w:r>
      <w:r w:rsidR="003A0404">
        <w:t>hacer el reporte:</w:t>
      </w:r>
    </w:p>
    <w:p w:rsidR="00A2168B" w:rsidRPr="007A7E5F" w:rsidRDefault="007178AD" w:rsidP="007A7E5F">
      <w:pPr>
        <w:rPr>
          <w:u w:val="single"/>
        </w:rPr>
      </w:pPr>
      <w:hyperlink r:id="rId14" w:history="1">
        <w:r w:rsidR="003A0404" w:rsidRPr="003A0404">
          <w:rPr>
            <w:rStyle w:val="Hipervnculo"/>
            <w:color w:val="auto"/>
          </w:rPr>
          <w:t>http://carmelo-bc.jimdo.com</w:t>
        </w:r>
      </w:hyperlink>
    </w:p>
    <w:p w:rsidR="00A2168B" w:rsidRDefault="00A2168B" w:rsidP="00A2168B">
      <w:pPr>
        <w:pStyle w:val="Default"/>
        <w:rPr>
          <w:sz w:val="28"/>
          <w:szCs w:val="28"/>
        </w:rPr>
      </w:pPr>
      <w:r>
        <w:t xml:space="preserve"> </w:t>
      </w:r>
      <w:r>
        <w:rPr>
          <w:b/>
          <w:bCs/>
          <w:sz w:val="28"/>
          <w:szCs w:val="28"/>
        </w:rPr>
        <w:t>PRÁCTICA # 3</w:t>
      </w:r>
      <w:r>
        <w:rPr>
          <w:b/>
          <w:bCs/>
          <w:sz w:val="28"/>
          <w:szCs w:val="28"/>
        </w:rPr>
        <w:t xml:space="preserve"> </w:t>
      </w:r>
    </w:p>
    <w:p w:rsidR="00A2168B" w:rsidRDefault="00A2168B" w:rsidP="00A2168B">
      <w:pPr>
        <w:pStyle w:val="Default"/>
        <w:rPr>
          <w:sz w:val="28"/>
          <w:szCs w:val="28"/>
        </w:rPr>
      </w:pPr>
      <w:r>
        <w:rPr>
          <w:b/>
          <w:bCs/>
          <w:sz w:val="28"/>
          <w:szCs w:val="28"/>
        </w:rPr>
        <w:t xml:space="preserve">COLORACIÓN DE WRIGHT </w:t>
      </w:r>
    </w:p>
    <w:p w:rsidR="00A2168B" w:rsidRDefault="00A2168B" w:rsidP="00A2168B">
      <w:pPr>
        <w:pStyle w:val="Default"/>
        <w:rPr>
          <w:rFonts w:ascii="Franklin Gothic Medium" w:hAnsi="Franklin Gothic Medium" w:cs="Franklin Gothic Medium"/>
          <w:sz w:val="26"/>
          <w:szCs w:val="26"/>
        </w:rPr>
      </w:pPr>
      <w:r>
        <w:rPr>
          <w:rFonts w:ascii="Franklin Gothic Medium" w:hAnsi="Franklin Gothic Medium" w:cs="Franklin Gothic Medium"/>
          <w:sz w:val="26"/>
          <w:szCs w:val="26"/>
        </w:rPr>
        <w:t xml:space="preserve">A. Introducción </w:t>
      </w:r>
    </w:p>
    <w:p w:rsidR="00A2168B" w:rsidRDefault="00A2168B" w:rsidP="00A2168B">
      <w:pPr>
        <w:pStyle w:val="Default"/>
        <w:rPr>
          <w:rFonts w:ascii="Segoe UI" w:hAnsi="Segoe UI" w:cs="Segoe UI"/>
          <w:sz w:val="22"/>
          <w:szCs w:val="22"/>
        </w:rPr>
      </w:pPr>
      <w:r>
        <w:rPr>
          <w:rFonts w:ascii="Segoe UI" w:hAnsi="Segoe UI" w:cs="Segoe UI"/>
          <w:sz w:val="22"/>
          <w:szCs w:val="22"/>
        </w:rPr>
        <w:t xml:space="preserve">Con el fin de estudiar satisfactoriamente los frotis sanguíneos, es necesario colorearlos. </w:t>
      </w:r>
    </w:p>
    <w:p w:rsidR="00A2168B" w:rsidRDefault="00A2168B" w:rsidP="00A2168B">
      <w:pPr>
        <w:pStyle w:val="Default"/>
        <w:rPr>
          <w:rFonts w:ascii="Segoe UI" w:hAnsi="Segoe UI" w:cs="Segoe UI"/>
          <w:sz w:val="22"/>
          <w:szCs w:val="22"/>
        </w:rPr>
      </w:pPr>
      <w:r>
        <w:rPr>
          <w:rFonts w:ascii="Segoe UI" w:hAnsi="Segoe UI" w:cs="Segoe UI"/>
          <w:sz w:val="22"/>
          <w:szCs w:val="22"/>
        </w:rPr>
        <w:t xml:space="preserve">En la mayoría de los laboratorios los colorantes más empleados para la tinción hematológica se basan en el de </w:t>
      </w:r>
      <w:proofErr w:type="spellStart"/>
      <w:r>
        <w:rPr>
          <w:rFonts w:ascii="Segoe UI" w:hAnsi="Segoe UI" w:cs="Segoe UI"/>
          <w:sz w:val="22"/>
          <w:szCs w:val="22"/>
        </w:rPr>
        <w:t>Romanowsky</w:t>
      </w:r>
      <w:proofErr w:type="spellEnd"/>
      <w:r>
        <w:rPr>
          <w:rFonts w:ascii="Segoe UI" w:hAnsi="Segoe UI" w:cs="Segoe UI"/>
          <w:sz w:val="22"/>
          <w:szCs w:val="22"/>
        </w:rPr>
        <w:t xml:space="preserve"> constituido fundamentalmente con la mezcla de eosina (ácido) y azul de metileno (básico). Además se han incorporado el empleo de derivados por oxidación del azul de metileno que se conoce con el nombre de azures (A, B, C). Son los azures los responsables de la coloración púrpura o roja de ciertas estructuras. </w:t>
      </w:r>
    </w:p>
    <w:p w:rsidR="00A2168B" w:rsidRDefault="00A2168B" w:rsidP="00A2168B">
      <w:pPr>
        <w:pStyle w:val="Default"/>
        <w:rPr>
          <w:rFonts w:ascii="Segoe UI" w:hAnsi="Segoe UI" w:cs="Segoe UI"/>
          <w:sz w:val="22"/>
          <w:szCs w:val="22"/>
        </w:rPr>
      </w:pPr>
      <w:r>
        <w:rPr>
          <w:rFonts w:ascii="Segoe UI" w:hAnsi="Segoe UI" w:cs="Segoe UI"/>
          <w:sz w:val="22"/>
          <w:szCs w:val="22"/>
        </w:rPr>
        <w:t>Tanto la eosina como el azul de metileno son muy sensibles a las va</w:t>
      </w:r>
      <w:bookmarkStart w:id="6" w:name="_GoBack"/>
      <w:bookmarkEnd w:id="6"/>
      <w:r>
        <w:rPr>
          <w:rFonts w:ascii="Segoe UI" w:hAnsi="Segoe UI" w:cs="Segoe UI"/>
          <w:sz w:val="22"/>
          <w:szCs w:val="22"/>
        </w:rPr>
        <w:t xml:space="preserve">riaciones de pH de las diferentes estructuras celulares, de forma que las que tienen carácter básico fijan la eosina mientras que las que poseen propiedades ácidas fijan principalmente el azul de metileno. </w:t>
      </w:r>
    </w:p>
    <w:p w:rsidR="00A2168B" w:rsidRDefault="00A2168B" w:rsidP="00A2168B">
      <w:pPr>
        <w:pStyle w:val="Default"/>
        <w:rPr>
          <w:rFonts w:ascii="Segoe UI" w:hAnsi="Segoe UI" w:cs="Segoe UI"/>
          <w:sz w:val="22"/>
          <w:szCs w:val="22"/>
        </w:rPr>
      </w:pPr>
      <w:r>
        <w:rPr>
          <w:rFonts w:ascii="Segoe UI" w:hAnsi="Segoe UI" w:cs="Segoe UI"/>
          <w:sz w:val="22"/>
          <w:szCs w:val="22"/>
        </w:rPr>
        <w:t xml:space="preserve">Esto explica que las estructuras </w:t>
      </w:r>
      <w:proofErr w:type="spellStart"/>
      <w:r>
        <w:rPr>
          <w:rFonts w:ascii="Segoe UI" w:hAnsi="Segoe UI" w:cs="Segoe UI"/>
          <w:sz w:val="22"/>
          <w:szCs w:val="22"/>
        </w:rPr>
        <w:t>basófilas</w:t>
      </w:r>
      <w:proofErr w:type="spellEnd"/>
      <w:r>
        <w:rPr>
          <w:rFonts w:ascii="Segoe UI" w:hAnsi="Segoe UI" w:cs="Segoe UI"/>
          <w:sz w:val="22"/>
          <w:szCs w:val="22"/>
        </w:rPr>
        <w:t xml:space="preserve"> se tiñan de color azul mientras que los competente </w:t>
      </w:r>
      <w:proofErr w:type="spellStart"/>
      <w:r>
        <w:rPr>
          <w:rFonts w:ascii="Segoe UI" w:hAnsi="Segoe UI" w:cs="Segoe UI"/>
          <w:sz w:val="22"/>
          <w:szCs w:val="22"/>
        </w:rPr>
        <w:t>acidófilas</w:t>
      </w:r>
      <w:proofErr w:type="spellEnd"/>
      <w:r>
        <w:rPr>
          <w:rFonts w:ascii="Segoe UI" w:hAnsi="Segoe UI" w:cs="Segoe UI"/>
          <w:sz w:val="22"/>
          <w:szCs w:val="22"/>
        </w:rPr>
        <w:t xml:space="preserve"> adquieren un color rosado. La diferente afinidad de ciertas granulaciones citoplasmáticas por dichos colorantes permite clasificar a los leucocitos </w:t>
      </w:r>
      <w:proofErr w:type="spellStart"/>
      <w:r>
        <w:rPr>
          <w:rFonts w:ascii="Segoe UI" w:hAnsi="Segoe UI" w:cs="Segoe UI"/>
          <w:sz w:val="22"/>
          <w:szCs w:val="22"/>
        </w:rPr>
        <w:t>polimorfonucleares</w:t>
      </w:r>
      <w:proofErr w:type="spellEnd"/>
      <w:r>
        <w:rPr>
          <w:rFonts w:ascii="Segoe UI" w:hAnsi="Segoe UI" w:cs="Segoe UI"/>
          <w:sz w:val="22"/>
          <w:szCs w:val="22"/>
        </w:rPr>
        <w:t xml:space="preserve"> en 3 grupos: </w:t>
      </w:r>
    </w:p>
    <w:p w:rsidR="00A2168B" w:rsidRDefault="00A2168B" w:rsidP="00A2168B">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Granulocitos eosinófilos, en los que la granulación específica contiene sustancias de carácter básicos que fijan los colorantes ácidos y se tiñen de color rojo-naranja. </w:t>
      </w:r>
    </w:p>
    <w:p w:rsidR="00A2168B" w:rsidRDefault="00A2168B" w:rsidP="00A2168B">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Granulocitos basófilos, en los que la granulación específica posee sustancias de carácter ácido que fijan los colorantes básicos y se tiñen de color azul oscuro. </w:t>
      </w:r>
    </w:p>
    <w:p w:rsidR="00A2168B" w:rsidRDefault="00A2168B" w:rsidP="00A2168B">
      <w:pPr>
        <w:pStyle w:val="Default"/>
        <w:rPr>
          <w:rFonts w:ascii="Segoe UI" w:hAnsi="Segoe UI" w:cs="Segoe UI"/>
          <w:sz w:val="22"/>
          <w:szCs w:val="22"/>
        </w:rPr>
      </w:pPr>
      <w:r>
        <w:rPr>
          <w:rFonts w:ascii="Segoe UI" w:hAnsi="Segoe UI" w:cs="Segoe UI"/>
          <w:sz w:val="14"/>
          <w:szCs w:val="14"/>
        </w:rPr>
        <w:lastRenderedPageBreak/>
        <w:t xml:space="preserve"> </w:t>
      </w:r>
      <w:r>
        <w:rPr>
          <w:rFonts w:ascii="Segoe UI" w:hAnsi="Segoe UI" w:cs="Segoe UI"/>
          <w:sz w:val="22"/>
          <w:szCs w:val="22"/>
        </w:rPr>
        <w:t xml:space="preserve">Granulocitos neutrófilos, en los que la granulación específica posee compuestos de carácter neutro por lo que fijan ambos colorantes simultáneamente, de ahí que se tiñen de color pardo. </w:t>
      </w:r>
    </w:p>
    <w:p w:rsidR="00A2168B" w:rsidRDefault="00A2168B" w:rsidP="00A2168B">
      <w:pPr>
        <w:pStyle w:val="Default"/>
        <w:rPr>
          <w:rFonts w:ascii="Segoe UI" w:hAnsi="Segoe UI" w:cs="Segoe UI"/>
          <w:sz w:val="22"/>
          <w:szCs w:val="22"/>
        </w:rPr>
      </w:pPr>
    </w:p>
    <w:p w:rsidR="00A2168B" w:rsidRDefault="008F2870" w:rsidP="00A2168B">
      <w:pPr>
        <w:pStyle w:val="Default"/>
        <w:rPr>
          <w:rFonts w:ascii="Segoe UI" w:hAnsi="Segoe UI" w:cs="Segoe UI"/>
          <w:sz w:val="22"/>
          <w:szCs w:val="22"/>
        </w:rPr>
      </w:pPr>
      <w:r>
        <w:rPr>
          <w:rFonts w:ascii="Franklin Gothic Medium" w:hAnsi="Franklin Gothic Medium" w:cs="Franklin Gothic Medium"/>
          <w:noProof/>
          <w:sz w:val="22"/>
          <w:szCs w:val="22"/>
          <w:lang w:eastAsia="es-MX"/>
        </w:rPr>
        <w:drawing>
          <wp:anchor distT="0" distB="0" distL="114300" distR="114300" simplePos="0" relativeHeight="251664384" behindDoc="1" locked="0" layoutInCell="1" allowOverlap="1" wp14:anchorId="7558B677" wp14:editId="675CEC16">
            <wp:simplePos x="0" y="0"/>
            <wp:positionH relativeFrom="column">
              <wp:posOffset>1441562</wp:posOffset>
            </wp:positionH>
            <wp:positionV relativeFrom="paragraph">
              <wp:posOffset>88265</wp:posOffset>
            </wp:positionV>
            <wp:extent cx="3371850" cy="1352550"/>
            <wp:effectExtent l="0" t="0" r="0" b="0"/>
            <wp:wrapNone/>
            <wp:docPr id="1" name="Imagen 1" descr="C:\Users\carmelo\Desktop\Análisis Clínicos\2DA UNIDAD HEMATOLOGÍA\frotis con portaobje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o\Desktop\Análisis Clínicos\2DA UNIDAD HEMATOLOGÍA\frotis con portaobjet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68B">
        <w:rPr>
          <w:rFonts w:ascii="Segoe UI" w:hAnsi="Segoe UI" w:cs="Segoe UI"/>
          <w:sz w:val="22"/>
          <w:szCs w:val="22"/>
        </w:rPr>
        <w:t xml:space="preserve">Dentro del grupo de colorante tipo </w:t>
      </w:r>
      <w:proofErr w:type="spellStart"/>
      <w:r w:rsidR="00A2168B">
        <w:rPr>
          <w:rFonts w:ascii="Segoe UI" w:hAnsi="Segoe UI" w:cs="Segoe UI"/>
          <w:sz w:val="22"/>
          <w:szCs w:val="22"/>
        </w:rPr>
        <w:t>Romanowsky</w:t>
      </w:r>
      <w:proofErr w:type="spellEnd"/>
      <w:r w:rsidR="00A2168B">
        <w:rPr>
          <w:rFonts w:ascii="Segoe UI" w:hAnsi="Segoe UI" w:cs="Segoe UI"/>
          <w:sz w:val="22"/>
          <w:szCs w:val="22"/>
        </w:rPr>
        <w:t xml:space="preserve"> los más utilizados son el de Wright, </w:t>
      </w:r>
      <w:proofErr w:type="spellStart"/>
      <w:r w:rsidR="00A2168B">
        <w:rPr>
          <w:rFonts w:ascii="Segoe UI" w:hAnsi="Segoe UI" w:cs="Segoe UI"/>
          <w:sz w:val="22"/>
          <w:szCs w:val="22"/>
        </w:rPr>
        <w:t>Giemsa</w:t>
      </w:r>
      <w:proofErr w:type="spellEnd"/>
      <w:r w:rsidR="00A2168B">
        <w:rPr>
          <w:rFonts w:ascii="Segoe UI" w:hAnsi="Segoe UI" w:cs="Segoe UI"/>
          <w:sz w:val="22"/>
          <w:szCs w:val="22"/>
        </w:rPr>
        <w:t xml:space="preserve"> y </w:t>
      </w:r>
      <w:proofErr w:type="spellStart"/>
      <w:r w:rsidR="00A2168B">
        <w:rPr>
          <w:rFonts w:ascii="Segoe UI" w:hAnsi="Segoe UI" w:cs="Segoe UI"/>
          <w:sz w:val="22"/>
          <w:szCs w:val="22"/>
        </w:rPr>
        <w:t>May</w:t>
      </w:r>
      <w:proofErr w:type="spellEnd"/>
      <w:r w:rsidR="00A2168B">
        <w:rPr>
          <w:rFonts w:ascii="Segoe UI" w:hAnsi="Segoe UI" w:cs="Segoe UI"/>
          <w:sz w:val="22"/>
          <w:szCs w:val="22"/>
        </w:rPr>
        <w:t xml:space="preserve">- </w:t>
      </w:r>
      <w:proofErr w:type="spellStart"/>
      <w:r w:rsidR="00A2168B">
        <w:rPr>
          <w:rFonts w:ascii="Segoe UI" w:hAnsi="Segoe UI" w:cs="Segoe UI"/>
          <w:sz w:val="22"/>
          <w:szCs w:val="22"/>
        </w:rPr>
        <w:t>Grünwald-Giemsa</w:t>
      </w:r>
      <w:proofErr w:type="spellEnd"/>
      <w:r w:rsidR="00A2168B">
        <w:rPr>
          <w:rFonts w:ascii="Segoe UI" w:hAnsi="Segoe UI" w:cs="Segoe UI"/>
          <w:sz w:val="22"/>
          <w:szCs w:val="22"/>
        </w:rPr>
        <w:t xml:space="preserve">, entre otras. </w:t>
      </w:r>
    </w:p>
    <w:p w:rsidR="00A2168B" w:rsidRDefault="00A2168B" w:rsidP="00A2168B">
      <w:pPr>
        <w:pStyle w:val="Default"/>
        <w:rPr>
          <w:rFonts w:ascii="Segoe UI" w:hAnsi="Segoe UI" w:cs="Segoe UI"/>
          <w:sz w:val="22"/>
          <w:szCs w:val="22"/>
        </w:rPr>
      </w:pPr>
    </w:p>
    <w:p w:rsidR="00A2168B" w:rsidRDefault="00A2168B" w:rsidP="00A2168B">
      <w:pPr>
        <w:pStyle w:val="Default"/>
        <w:rPr>
          <w:rFonts w:ascii="Segoe UI" w:hAnsi="Segoe UI" w:cs="Segoe UI"/>
          <w:sz w:val="22"/>
          <w:szCs w:val="22"/>
        </w:rPr>
      </w:pPr>
    </w:p>
    <w:p w:rsidR="00A2168B" w:rsidRDefault="00A2168B" w:rsidP="00A2168B">
      <w:pPr>
        <w:pStyle w:val="Default"/>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FROTIS SANGUÍNEO: </w:t>
      </w:r>
    </w:p>
    <w:p w:rsidR="00A2168B" w:rsidRDefault="00A2168B" w:rsidP="00A2168B">
      <w:pPr>
        <w:pStyle w:val="Default"/>
        <w:rPr>
          <w:rFonts w:ascii="Franklin Gothic Medium" w:hAnsi="Franklin Gothic Medium" w:cs="Franklin Gothic Medium"/>
          <w:sz w:val="22"/>
          <w:szCs w:val="22"/>
        </w:rPr>
      </w:pPr>
    </w:p>
    <w:p w:rsidR="008F2870" w:rsidRDefault="008F2870" w:rsidP="00A2168B">
      <w:pPr>
        <w:pStyle w:val="Default"/>
        <w:rPr>
          <w:rFonts w:ascii="Franklin Gothic Medium" w:hAnsi="Franklin Gothic Medium" w:cs="Franklin Gothic Medium"/>
          <w:sz w:val="22"/>
          <w:szCs w:val="22"/>
        </w:rPr>
      </w:pPr>
    </w:p>
    <w:p w:rsidR="008F2870" w:rsidRDefault="008F2870" w:rsidP="00A2168B">
      <w:pPr>
        <w:pStyle w:val="Default"/>
        <w:rPr>
          <w:rFonts w:ascii="Franklin Gothic Medium" w:hAnsi="Franklin Gothic Medium" w:cs="Franklin Gothic Medium"/>
          <w:sz w:val="22"/>
          <w:szCs w:val="22"/>
        </w:rPr>
      </w:pPr>
    </w:p>
    <w:p w:rsidR="00A2168B" w:rsidRDefault="00A2168B" w:rsidP="00A2168B">
      <w:pPr>
        <w:pStyle w:val="Default"/>
        <w:rPr>
          <w:rFonts w:ascii="Franklin Gothic Medium" w:hAnsi="Franklin Gothic Medium" w:cs="Franklin Gothic Medium"/>
          <w:sz w:val="22"/>
          <w:szCs w:val="22"/>
        </w:rPr>
      </w:pPr>
      <w:r>
        <w:rPr>
          <w:rFonts w:ascii="Franklin Gothic Medium" w:hAnsi="Franklin Gothic Medium" w:cs="Franklin Gothic Medium"/>
          <w:sz w:val="22"/>
          <w:szCs w:val="22"/>
        </w:rPr>
        <w:t xml:space="preserve">1. Tinción de Wright </w:t>
      </w:r>
    </w:p>
    <w:p w:rsidR="006953B4" w:rsidRDefault="00A2168B" w:rsidP="00A2168B">
      <w:pPr>
        <w:pStyle w:val="Default"/>
        <w:rPr>
          <w:rFonts w:ascii="Segoe UI" w:hAnsi="Segoe UI" w:cs="Segoe UI"/>
          <w:sz w:val="22"/>
          <w:szCs w:val="22"/>
        </w:rPr>
      </w:pPr>
      <w:r>
        <w:rPr>
          <w:rFonts w:ascii="Segoe UI" w:hAnsi="Segoe UI" w:cs="Segoe UI"/>
          <w:sz w:val="22"/>
          <w:szCs w:val="22"/>
        </w:rPr>
        <w:t xml:space="preserve">Esta coloración es conocida como </w:t>
      </w:r>
      <w:proofErr w:type="spellStart"/>
      <w:r>
        <w:rPr>
          <w:rFonts w:ascii="Segoe UI" w:hAnsi="Segoe UI" w:cs="Segoe UI"/>
          <w:sz w:val="22"/>
          <w:szCs w:val="22"/>
        </w:rPr>
        <w:t>policromática</w:t>
      </w:r>
      <w:proofErr w:type="spellEnd"/>
      <w:r>
        <w:rPr>
          <w:rFonts w:ascii="Segoe UI" w:hAnsi="Segoe UI" w:cs="Segoe UI"/>
          <w:sz w:val="22"/>
          <w:szCs w:val="22"/>
        </w:rPr>
        <w:t xml:space="preserve"> debido a que produce varios colores. Es una solución de alcohol metílico de un colorante ácido (eosina) y otro básico (azul de metileno). El alcohol sirve como un fijador del frotis sanguíneo al portaobjetos. El amortiguador, que consiste en una solución tamponada, mantiene el pH del colorante y favorece la mejor absorción por los diferentes componentes celulares. </w:t>
      </w:r>
    </w:p>
    <w:p w:rsidR="006953B4" w:rsidRDefault="008F2870" w:rsidP="00A2168B">
      <w:pPr>
        <w:pStyle w:val="Default"/>
        <w:rPr>
          <w:rFonts w:ascii="Segoe UI" w:hAnsi="Segoe UI" w:cs="Segoe UI"/>
          <w:sz w:val="22"/>
          <w:szCs w:val="22"/>
        </w:rPr>
      </w:pPr>
      <w:r>
        <w:rPr>
          <w:rFonts w:ascii="Segoe UI" w:hAnsi="Segoe UI" w:cs="Segoe UI"/>
          <w:noProof/>
          <w:sz w:val="22"/>
          <w:szCs w:val="22"/>
          <w:lang w:eastAsia="es-MX"/>
        </w:rPr>
        <w:drawing>
          <wp:anchor distT="0" distB="0" distL="114300" distR="114300" simplePos="0" relativeHeight="251658240" behindDoc="1" locked="0" layoutInCell="1" allowOverlap="1" wp14:anchorId="0B72C064" wp14:editId="4C4B6F81">
            <wp:simplePos x="0" y="0"/>
            <wp:positionH relativeFrom="column">
              <wp:posOffset>1431290</wp:posOffset>
            </wp:positionH>
            <wp:positionV relativeFrom="paragraph">
              <wp:posOffset>96520</wp:posOffset>
            </wp:positionV>
            <wp:extent cx="2333625" cy="1209675"/>
            <wp:effectExtent l="0" t="0" r="9525" b="9525"/>
            <wp:wrapNone/>
            <wp:docPr id="2" name="Imagen 2" descr="C:\Users\carmelo\Desktop\Análisis Clínicos\2DA UNIDAD HEMATOLOGÍA\PUENTE DE TIN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lo\Desktop\Análisis Clínicos\2DA UNIDAD HEMATOLOGÍA\PUENTE DE TINCIÓ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73" t="17391" r="9058" b="21256"/>
                    <a:stretch/>
                  </pic:blipFill>
                  <pic:spPr bwMode="auto">
                    <a:xfrm>
                      <a:off x="0" y="0"/>
                      <a:ext cx="233362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53B4" w:rsidRDefault="006953B4" w:rsidP="00A2168B">
      <w:pPr>
        <w:pStyle w:val="Default"/>
        <w:rPr>
          <w:rFonts w:ascii="Segoe UI" w:hAnsi="Segoe UI" w:cs="Segoe UI"/>
          <w:sz w:val="22"/>
          <w:szCs w:val="22"/>
        </w:rPr>
      </w:pPr>
      <w:r>
        <w:rPr>
          <w:rFonts w:ascii="Segoe UI" w:hAnsi="Segoe UI" w:cs="Segoe UI"/>
          <w:sz w:val="22"/>
          <w:szCs w:val="22"/>
        </w:rPr>
        <w:t xml:space="preserve">Puente de tinción. </w:t>
      </w:r>
    </w:p>
    <w:p w:rsidR="008F2870" w:rsidRDefault="008F2870" w:rsidP="00A2168B">
      <w:pPr>
        <w:pStyle w:val="Default"/>
        <w:rPr>
          <w:rFonts w:ascii="Segoe UI" w:hAnsi="Segoe UI" w:cs="Segoe UI"/>
          <w:sz w:val="22"/>
          <w:szCs w:val="22"/>
        </w:rPr>
      </w:pPr>
    </w:p>
    <w:p w:rsidR="008F2870" w:rsidRDefault="008F2870" w:rsidP="00A2168B">
      <w:pPr>
        <w:pStyle w:val="Default"/>
        <w:rPr>
          <w:rFonts w:ascii="Segoe UI" w:hAnsi="Segoe UI" w:cs="Segoe UI"/>
          <w:sz w:val="22"/>
          <w:szCs w:val="22"/>
        </w:rPr>
      </w:pPr>
    </w:p>
    <w:p w:rsidR="008F2870" w:rsidRDefault="008F2870" w:rsidP="00A2168B">
      <w:pPr>
        <w:pStyle w:val="Default"/>
        <w:rPr>
          <w:rFonts w:ascii="Segoe UI" w:hAnsi="Segoe UI" w:cs="Segoe UI"/>
          <w:sz w:val="22"/>
          <w:szCs w:val="22"/>
        </w:rPr>
      </w:pPr>
    </w:p>
    <w:p w:rsidR="008F2870" w:rsidRDefault="008F2870" w:rsidP="00A2168B">
      <w:pPr>
        <w:pStyle w:val="Default"/>
        <w:rPr>
          <w:rFonts w:ascii="Segoe UI" w:hAnsi="Segoe UI" w:cs="Segoe UI"/>
          <w:sz w:val="22"/>
          <w:szCs w:val="22"/>
        </w:rPr>
      </w:pPr>
      <w:r w:rsidRPr="006953B4">
        <w:rPr>
          <w:rFonts w:ascii="Segoe UI" w:hAnsi="Segoe UI" w:cs="Segoe UI"/>
          <w:noProof/>
          <w:sz w:val="22"/>
          <w:szCs w:val="22"/>
        </w:rPr>
        <mc:AlternateContent>
          <mc:Choice Requires="wps">
            <w:drawing>
              <wp:anchor distT="0" distB="0" distL="114300" distR="114300" simplePos="0" relativeHeight="251660288" behindDoc="0" locked="0" layoutInCell="1" allowOverlap="1" wp14:anchorId="6C2F3FAC" wp14:editId="6BAA8C50">
                <wp:simplePos x="0" y="0"/>
                <wp:positionH relativeFrom="column">
                  <wp:posOffset>3810</wp:posOffset>
                </wp:positionH>
                <wp:positionV relativeFrom="paragraph">
                  <wp:posOffset>375920</wp:posOffset>
                </wp:positionV>
                <wp:extent cx="6546850" cy="7972425"/>
                <wp:effectExtent l="0" t="0" r="2540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7972425"/>
                        </a:xfrm>
                        <a:prstGeom prst="rect">
                          <a:avLst/>
                        </a:prstGeom>
                        <a:solidFill>
                          <a:srgbClr val="FFFFFF"/>
                        </a:solidFill>
                        <a:ln w="9525">
                          <a:solidFill>
                            <a:srgbClr val="000000"/>
                          </a:solidFill>
                          <a:miter lim="800000"/>
                          <a:headEnd/>
                          <a:tailEnd/>
                        </a:ln>
                      </wps:spPr>
                      <wps:txbx>
                        <w:txbxContent>
                          <w:p w:rsidR="006953B4" w:rsidRDefault="006953B4" w:rsidP="006953B4">
                            <w:pPr>
                              <w:pStyle w:val="Default"/>
                              <w:pageBreakBefore/>
                              <w:rPr>
                                <w:rFonts w:ascii="Segoe UI" w:hAnsi="Segoe UI" w:cs="Segoe UI"/>
                                <w:sz w:val="22"/>
                                <w:szCs w:val="22"/>
                              </w:rPr>
                            </w:pPr>
                            <w:r>
                              <w:rPr>
                                <w:rFonts w:ascii="Segoe UI" w:hAnsi="Segoe UI" w:cs="Segoe UI"/>
                                <w:sz w:val="22"/>
                                <w:szCs w:val="22"/>
                              </w:rPr>
                              <w:t xml:space="preserve">Materiales: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Colorante de Wright: para 100 </w:t>
                            </w:r>
                            <w:proofErr w:type="spellStart"/>
                            <w:r>
                              <w:rPr>
                                <w:rFonts w:ascii="Segoe UI" w:hAnsi="Segoe UI" w:cs="Segoe UI"/>
                                <w:sz w:val="22"/>
                                <w:szCs w:val="22"/>
                              </w:rPr>
                              <w:t>mL</w:t>
                            </w:r>
                            <w:proofErr w:type="spellEnd"/>
                            <w:r>
                              <w:rPr>
                                <w:rFonts w:ascii="Segoe UI" w:hAnsi="Segoe UI" w:cs="Segoe UI"/>
                                <w:sz w:val="22"/>
                                <w:szCs w:val="22"/>
                              </w:rPr>
                              <w:t xml:space="preserve"> se requiere de colorante de Wright (0.3g), metanol (97.0 </w:t>
                            </w:r>
                            <w:proofErr w:type="spellStart"/>
                            <w:r>
                              <w:rPr>
                                <w:rFonts w:ascii="Segoe UI" w:hAnsi="Segoe UI" w:cs="Segoe UI"/>
                                <w:sz w:val="22"/>
                                <w:szCs w:val="22"/>
                              </w:rPr>
                              <w:t>mL</w:t>
                            </w:r>
                            <w:proofErr w:type="spellEnd"/>
                            <w:r>
                              <w:rPr>
                                <w:rFonts w:ascii="Segoe UI" w:hAnsi="Segoe UI" w:cs="Segoe UI"/>
                                <w:sz w:val="22"/>
                                <w:szCs w:val="22"/>
                              </w:rPr>
                              <w:t xml:space="preserve">) y glicerol (3.0 </w:t>
                            </w:r>
                            <w:proofErr w:type="spellStart"/>
                            <w:r>
                              <w:rPr>
                                <w:rFonts w:ascii="Segoe UI" w:hAnsi="Segoe UI" w:cs="Segoe UI"/>
                                <w:sz w:val="22"/>
                                <w:szCs w:val="22"/>
                              </w:rPr>
                              <w:t>mL</w:t>
                            </w:r>
                            <w:proofErr w:type="spellEnd"/>
                            <w:r>
                              <w:rPr>
                                <w:rFonts w:ascii="Segoe UI" w:hAnsi="Segoe UI" w:cs="Segoe UI"/>
                                <w:sz w:val="22"/>
                                <w:szCs w:val="22"/>
                              </w:rPr>
                              <w:t xml:space="preserve">). Disolver en un mortero el colorante con el glicerol. Una vez disuelto se adiciona el metanol trasvasándolo a un frasco oscuro. Agitar. Filtrar antes de usar.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Solución amortiguadora tamponada: en un litro de agua destilada se agregan 3.76 g de </w:t>
                            </w:r>
                            <w:proofErr w:type="spellStart"/>
                            <w:r>
                              <w:rPr>
                                <w:rFonts w:ascii="Segoe UI" w:hAnsi="Segoe UI" w:cs="Segoe UI"/>
                                <w:sz w:val="22"/>
                                <w:szCs w:val="22"/>
                              </w:rPr>
                              <w:t>hidrofosfato</w:t>
                            </w:r>
                            <w:proofErr w:type="spellEnd"/>
                            <w:r>
                              <w:rPr>
                                <w:rFonts w:ascii="Segoe UI" w:hAnsi="Segoe UI" w:cs="Segoe UI"/>
                                <w:sz w:val="22"/>
                                <w:szCs w:val="22"/>
                              </w:rPr>
                              <w:t xml:space="preserve"> </w:t>
                            </w:r>
                            <w:proofErr w:type="spellStart"/>
                            <w:r>
                              <w:rPr>
                                <w:rFonts w:ascii="Segoe UI" w:hAnsi="Segoe UI" w:cs="Segoe UI"/>
                                <w:sz w:val="22"/>
                                <w:szCs w:val="22"/>
                              </w:rPr>
                              <w:t>disódico</w:t>
                            </w:r>
                            <w:proofErr w:type="spellEnd"/>
                            <w:r>
                              <w:rPr>
                                <w:rFonts w:ascii="Segoe UI" w:hAnsi="Segoe UI" w:cs="Segoe UI"/>
                                <w:sz w:val="22"/>
                                <w:szCs w:val="22"/>
                              </w:rPr>
                              <w:t xml:space="preserve"> (Na2HPO4* 2H20) y 2.10g de fosfato de potasio </w:t>
                            </w:r>
                            <w:proofErr w:type="spellStart"/>
                            <w:r>
                              <w:rPr>
                                <w:rFonts w:ascii="Segoe UI" w:hAnsi="Segoe UI" w:cs="Segoe UI"/>
                                <w:sz w:val="22"/>
                                <w:szCs w:val="22"/>
                              </w:rPr>
                              <w:t>dihidrogenado</w:t>
                            </w:r>
                            <w:proofErr w:type="spellEnd"/>
                            <w:r>
                              <w:rPr>
                                <w:rFonts w:ascii="Segoe UI" w:hAnsi="Segoe UI" w:cs="Segoe UI"/>
                                <w:sz w:val="22"/>
                                <w:szCs w:val="22"/>
                              </w:rPr>
                              <w:t xml:space="preserve"> (KH2PO4). Mezclar todos los reactivos y guardar en frasco de vidrio en lugar fresco. Ajustar el pH a 7.2. </w:t>
                            </w:r>
                          </w:p>
                          <w:p w:rsidR="006953B4" w:rsidRDefault="006953B4" w:rsidP="006953B4">
                            <w:pPr>
                              <w:pStyle w:val="Default"/>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Rejilla ho</w:t>
                            </w:r>
                            <w:r>
                              <w:rPr>
                                <w:rFonts w:ascii="Segoe UI" w:hAnsi="Segoe UI" w:cs="Segoe UI"/>
                                <w:sz w:val="22"/>
                                <w:szCs w:val="22"/>
                              </w:rPr>
                              <w:t xml:space="preserve">rizontal o soporte de tinción. </w:t>
                            </w:r>
                          </w:p>
                          <w:p w:rsidR="006953B4" w:rsidRPr="006953B4" w:rsidRDefault="006953B4" w:rsidP="006953B4">
                            <w:pPr>
                              <w:pStyle w:val="Default"/>
                              <w:rPr>
                                <w:rFonts w:ascii="Segoe UI" w:hAnsi="Segoe UI" w:cs="Segoe UI"/>
                                <w:sz w:val="22"/>
                                <w:szCs w:val="22"/>
                              </w:rPr>
                            </w:pPr>
                            <w:r>
                              <w:rPr>
                                <w:rFonts w:ascii="Segoe UI" w:hAnsi="Segoe UI" w:cs="Segoe UI"/>
                                <w:sz w:val="16"/>
                                <w:szCs w:val="16"/>
                              </w:rPr>
                              <w:t xml:space="preserve"> </w:t>
                            </w:r>
                          </w:p>
                          <w:p w:rsidR="006953B4" w:rsidRDefault="006953B4" w:rsidP="006953B4">
                            <w:pPr>
                              <w:pStyle w:val="Default"/>
                              <w:rPr>
                                <w:rFonts w:ascii="Segoe UI" w:hAnsi="Segoe UI" w:cs="Segoe UI"/>
                                <w:sz w:val="22"/>
                                <w:szCs w:val="22"/>
                              </w:rPr>
                            </w:pPr>
                            <w:r>
                              <w:rPr>
                                <w:rFonts w:ascii="Segoe UI" w:hAnsi="Segoe UI" w:cs="Segoe UI"/>
                                <w:sz w:val="22"/>
                                <w:szCs w:val="22"/>
                              </w:rPr>
                              <w:t xml:space="preserve">Técnica: </w:t>
                            </w:r>
                          </w:p>
                          <w:p w:rsidR="006953B4" w:rsidRDefault="006953B4" w:rsidP="006953B4">
                            <w:pPr>
                              <w:pStyle w:val="Default"/>
                              <w:spacing w:after="56"/>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Colocar el frotis secado al aire sobre una rejilla o cubeta de tinción con la sangre hacia arriba (ver figura 4). </w:t>
                            </w:r>
                            <w:r>
                              <w:rPr>
                                <w:rFonts w:ascii="Segoe UI" w:hAnsi="Segoe UI" w:cs="Segoe UI"/>
                                <w:sz w:val="14"/>
                                <w:szCs w:val="14"/>
                              </w:rPr>
                              <w:t xml:space="preserve"> </w:t>
                            </w:r>
                            <w:r>
                              <w:rPr>
                                <w:rFonts w:ascii="Segoe UI" w:hAnsi="Segoe UI" w:cs="Segoe UI"/>
                                <w:sz w:val="22"/>
                                <w:szCs w:val="22"/>
                              </w:rPr>
                              <w:t xml:space="preserve">Cubrir completamente el portaobjetos o cubreobjetos con el colorante de Wright gota a gota. Dejarlo que permanezca en el frotis aproximadamente de 5-8 minutos, para fijar los glóbulos sanguíneos. El colorante deberá cubrir completamente el portaobjetos, pero no debe derramarse por los bordes. Deberá agregarse una cantidad adicional si éste se comienza a evaporar. </w:t>
                            </w:r>
                          </w:p>
                          <w:p w:rsidR="006953B4" w:rsidRDefault="006953B4" w:rsidP="006953B4">
                            <w:pPr>
                              <w:pStyle w:val="Default"/>
                              <w:spacing w:after="56"/>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Agregar directamente al colorante un volumen igual de amortiguador de Wright, para evitar la coloración débil. Esperar la formación de brillo metálico. Puede usarse de igual manera agua </w:t>
                            </w:r>
                            <w:proofErr w:type="spellStart"/>
                            <w:r>
                              <w:rPr>
                                <w:rFonts w:ascii="Segoe UI" w:hAnsi="Segoe UI" w:cs="Segoe UI"/>
                                <w:sz w:val="22"/>
                                <w:szCs w:val="22"/>
                              </w:rPr>
                              <w:t>desionizada</w:t>
                            </w:r>
                            <w:proofErr w:type="spellEnd"/>
                            <w:r>
                              <w:rPr>
                                <w:rFonts w:ascii="Segoe UI" w:hAnsi="Segoe UI" w:cs="Segoe UI"/>
                                <w:sz w:val="22"/>
                                <w:szCs w:val="22"/>
                              </w:rPr>
                              <w:t xml:space="preserve">. Dejar actuar de 10-15 minutos. </w:t>
                            </w:r>
                          </w:p>
                          <w:p w:rsidR="006953B4" w:rsidRDefault="006953B4" w:rsidP="006953B4">
                            <w:pPr>
                              <w:pStyle w:val="Default"/>
                              <w:spacing w:after="56"/>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Lavar con agua en el chorro cuidadosamente hasta que la extensión presente un aspecto rosado al examinarlo a simple vista. </w:t>
                            </w:r>
                          </w:p>
                          <w:p w:rsidR="006953B4" w:rsidRDefault="006953B4" w:rsidP="006953B4">
                            <w:pPr>
                              <w:pStyle w:val="Default"/>
                              <w:spacing w:after="56"/>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Limpiar el dorso del portaobjetos con una gasa o algodón humedecido en alcohol para eliminar cualquier resto de colorante. </w:t>
                            </w:r>
                          </w:p>
                          <w:p w:rsidR="007A7E5F" w:rsidRDefault="006953B4" w:rsidP="007A7E5F">
                            <w:pPr>
                              <w:pStyle w:val="Default"/>
                              <w:pageBreakBefore/>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Secar al aire y observar con el microscopio</w:t>
                            </w:r>
                            <w:r>
                              <w:rPr>
                                <w:rFonts w:ascii="Segoe UI" w:hAnsi="Segoe UI" w:cs="Segoe UI"/>
                                <w:sz w:val="22"/>
                                <w:szCs w:val="22"/>
                              </w:rPr>
                              <w:t xml:space="preserve"> con el objetivo de inmersión</w:t>
                            </w:r>
                          </w:p>
                          <w:p w:rsidR="007A7E5F" w:rsidRDefault="006953B4" w:rsidP="007A7E5F">
                            <w:pPr>
                              <w:pStyle w:val="Default"/>
                              <w:pageBreakBefore/>
                              <w:rPr>
                                <w:rFonts w:ascii="Segoe UI" w:hAnsi="Segoe UI" w:cs="Segoe UI"/>
                                <w:sz w:val="22"/>
                                <w:szCs w:val="22"/>
                              </w:rPr>
                            </w:pPr>
                            <w:r>
                              <w:rPr>
                                <w:rFonts w:ascii="Segoe UI" w:hAnsi="Segoe UI" w:cs="Segoe UI"/>
                                <w:sz w:val="22"/>
                                <w:szCs w:val="22"/>
                              </w:rPr>
                              <w:t xml:space="preserve">. </w:t>
                            </w:r>
                            <w:r w:rsidR="007A7E5F">
                              <w:rPr>
                                <w:rFonts w:ascii="Segoe UI" w:hAnsi="Segoe UI" w:cs="Segoe UI"/>
                                <w:sz w:val="22"/>
                                <w:szCs w:val="22"/>
                              </w:rPr>
                              <w:t xml:space="preserve">Resultados: </w:t>
                            </w:r>
                          </w:p>
                          <w:p w:rsidR="006953B4" w:rsidRPr="006953B4" w:rsidRDefault="007A7E5F" w:rsidP="006953B4">
                            <w:pPr>
                              <w:pStyle w:val="Default"/>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Los eritrocitos se observa</w:t>
                            </w:r>
                            <w:r w:rsidR="008F2870">
                              <w:rPr>
                                <w:rFonts w:ascii="Segoe UI" w:hAnsi="Segoe UI" w:cs="Segoe UI"/>
                                <w:sz w:val="22"/>
                                <w:szCs w:val="22"/>
                              </w:rPr>
                              <w:t xml:space="preserve">rán de color naranja o rosado.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pt;margin-top:29.6pt;width:515.5pt;height:6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">
                <v:textbox>
                  <w:txbxContent>
                    <w:p w:rsidR="006953B4" w:rsidRDefault="006953B4" w:rsidP="006953B4">
                      <w:pPr>
                        <w:pStyle w:val="Default"/>
                        <w:pageBreakBefore/>
                        <w:rPr>
                          <w:rFonts w:ascii="Segoe UI" w:hAnsi="Segoe UI" w:cs="Segoe UI"/>
                          <w:sz w:val="22"/>
                          <w:szCs w:val="22"/>
                        </w:rPr>
                      </w:pPr>
                      <w:r>
                        <w:rPr>
                          <w:rFonts w:ascii="Segoe UI" w:hAnsi="Segoe UI" w:cs="Segoe UI"/>
                          <w:sz w:val="22"/>
                          <w:szCs w:val="22"/>
                        </w:rPr>
                        <w:t xml:space="preserve">Materiales: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Colorante de Wright: para 100 </w:t>
                      </w:r>
                      <w:proofErr w:type="spellStart"/>
                      <w:r>
                        <w:rPr>
                          <w:rFonts w:ascii="Segoe UI" w:hAnsi="Segoe UI" w:cs="Segoe UI"/>
                          <w:sz w:val="22"/>
                          <w:szCs w:val="22"/>
                        </w:rPr>
                        <w:t>mL</w:t>
                      </w:r>
                      <w:proofErr w:type="spellEnd"/>
                      <w:r>
                        <w:rPr>
                          <w:rFonts w:ascii="Segoe UI" w:hAnsi="Segoe UI" w:cs="Segoe UI"/>
                          <w:sz w:val="22"/>
                          <w:szCs w:val="22"/>
                        </w:rPr>
                        <w:t xml:space="preserve"> se requiere de colorante de Wright (0.3g), metanol (97.0 </w:t>
                      </w:r>
                      <w:proofErr w:type="spellStart"/>
                      <w:r>
                        <w:rPr>
                          <w:rFonts w:ascii="Segoe UI" w:hAnsi="Segoe UI" w:cs="Segoe UI"/>
                          <w:sz w:val="22"/>
                          <w:szCs w:val="22"/>
                        </w:rPr>
                        <w:t>mL</w:t>
                      </w:r>
                      <w:proofErr w:type="spellEnd"/>
                      <w:r>
                        <w:rPr>
                          <w:rFonts w:ascii="Segoe UI" w:hAnsi="Segoe UI" w:cs="Segoe UI"/>
                          <w:sz w:val="22"/>
                          <w:szCs w:val="22"/>
                        </w:rPr>
                        <w:t xml:space="preserve">) y glicerol (3.0 </w:t>
                      </w:r>
                      <w:proofErr w:type="spellStart"/>
                      <w:r>
                        <w:rPr>
                          <w:rFonts w:ascii="Segoe UI" w:hAnsi="Segoe UI" w:cs="Segoe UI"/>
                          <w:sz w:val="22"/>
                          <w:szCs w:val="22"/>
                        </w:rPr>
                        <w:t>mL</w:t>
                      </w:r>
                      <w:proofErr w:type="spellEnd"/>
                      <w:r>
                        <w:rPr>
                          <w:rFonts w:ascii="Segoe UI" w:hAnsi="Segoe UI" w:cs="Segoe UI"/>
                          <w:sz w:val="22"/>
                          <w:szCs w:val="22"/>
                        </w:rPr>
                        <w:t xml:space="preserve">). Disolver en un mortero el colorante con el glicerol. Una vez disuelto se adiciona el metanol trasvasándolo a un frasco oscuro. Agitar. Filtrar antes de usar.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Solución amortiguadora tamponada: en un litro de agua destilada se agregan 3.76 g de </w:t>
                      </w:r>
                      <w:proofErr w:type="spellStart"/>
                      <w:r>
                        <w:rPr>
                          <w:rFonts w:ascii="Segoe UI" w:hAnsi="Segoe UI" w:cs="Segoe UI"/>
                          <w:sz w:val="22"/>
                          <w:szCs w:val="22"/>
                        </w:rPr>
                        <w:t>hidrofosfato</w:t>
                      </w:r>
                      <w:proofErr w:type="spellEnd"/>
                      <w:r>
                        <w:rPr>
                          <w:rFonts w:ascii="Segoe UI" w:hAnsi="Segoe UI" w:cs="Segoe UI"/>
                          <w:sz w:val="22"/>
                          <w:szCs w:val="22"/>
                        </w:rPr>
                        <w:t xml:space="preserve"> </w:t>
                      </w:r>
                      <w:proofErr w:type="spellStart"/>
                      <w:r>
                        <w:rPr>
                          <w:rFonts w:ascii="Segoe UI" w:hAnsi="Segoe UI" w:cs="Segoe UI"/>
                          <w:sz w:val="22"/>
                          <w:szCs w:val="22"/>
                        </w:rPr>
                        <w:t>disódico</w:t>
                      </w:r>
                      <w:proofErr w:type="spellEnd"/>
                      <w:r>
                        <w:rPr>
                          <w:rFonts w:ascii="Segoe UI" w:hAnsi="Segoe UI" w:cs="Segoe UI"/>
                          <w:sz w:val="22"/>
                          <w:szCs w:val="22"/>
                        </w:rPr>
                        <w:t xml:space="preserve"> (Na2HPO4* 2H20) y 2.10g de fosfato de potasio </w:t>
                      </w:r>
                      <w:proofErr w:type="spellStart"/>
                      <w:r>
                        <w:rPr>
                          <w:rFonts w:ascii="Segoe UI" w:hAnsi="Segoe UI" w:cs="Segoe UI"/>
                          <w:sz w:val="22"/>
                          <w:szCs w:val="22"/>
                        </w:rPr>
                        <w:t>dihidrogenado</w:t>
                      </w:r>
                      <w:proofErr w:type="spellEnd"/>
                      <w:r>
                        <w:rPr>
                          <w:rFonts w:ascii="Segoe UI" w:hAnsi="Segoe UI" w:cs="Segoe UI"/>
                          <w:sz w:val="22"/>
                          <w:szCs w:val="22"/>
                        </w:rPr>
                        <w:t xml:space="preserve"> (KH2PO4). Mezclar todos los reactivos y guardar en frasco de vidrio en lugar fresco. Ajustar el pH a 7.2. </w:t>
                      </w:r>
                    </w:p>
                    <w:p w:rsidR="006953B4" w:rsidRDefault="006953B4" w:rsidP="006953B4">
                      <w:pPr>
                        <w:pStyle w:val="Default"/>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Rejilla ho</w:t>
                      </w:r>
                      <w:r>
                        <w:rPr>
                          <w:rFonts w:ascii="Segoe UI" w:hAnsi="Segoe UI" w:cs="Segoe UI"/>
                          <w:sz w:val="22"/>
                          <w:szCs w:val="22"/>
                        </w:rPr>
                        <w:t xml:space="preserve">rizontal o soporte de tinción. </w:t>
                      </w:r>
                    </w:p>
                    <w:p w:rsidR="006953B4" w:rsidRPr="006953B4" w:rsidRDefault="006953B4" w:rsidP="006953B4">
                      <w:pPr>
                        <w:pStyle w:val="Default"/>
                        <w:rPr>
                          <w:rFonts w:ascii="Segoe UI" w:hAnsi="Segoe UI" w:cs="Segoe UI"/>
                          <w:sz w:val="22"/>
                          <w:szCs w:val="22"/>
                        </w:rPr>
                      </w:pPr>
                      <w:r>
                        <w:rPr>
                          <w:rFonts w:ascii="Segoe UI" w:hAnsi="Segoe UI" w:cs="Segoe UI"/>
                          <w:sz w:val="16"/>
                          <w:szCs w:val="16"/>
                        </w:rPr>
                        <w:t xml:space="preserve"> </w:t>
                      </w:r>
                    </w:p>
                    <w:p w:rsidR="006953B4" w:rsidRDefault="006953B4" w:rsidP="006953B4">
                      <w:pPr>
                        <w:pStyle w:val="Default"/>
                        <w:rPr>
                          <w:rFonts w:ascii="Segoe UI" w:hAnsi="Segoe UI" w:cs="Segoe UI"/>
                          <w:sz w:val="22"/>
                          <w:szCs w:val="22"/>
                        </w:rPr>
                      </w:pPr>
                      <w:r>
                        <w:rPr>
                          <w:rFonts w:ascii="Segoe UI" w:hAnsi="Segoe UI" w:cs="Segoe UI"/>
                          <w:sz w:val="22"/>
                          <w:szCs w:val="22"/>
                        </w:rPr>
                        <w:t xml:space="preserve">Técnica: </w:t>
                      </w:r>
                    </w:p>
                    <w:p w:rsidR="006953B4" w:rsidRDefault="006953B4" w:rsidP="006953B4">
                      <w:pPr>
                        <w:pStyle w:val="Default"/>
                        <w:spacing w:after="56"/>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Colocar el frotis secado al aire sobre una rejilla o cubeta de tinción con la sangre hacia arriba (ver figura 4). </w:t>
                      </w:r>
                      <w:r>
                        <w:rPr>
                          <w:rFonts w:ascii="Segoe UI" w:hAnsi="Segoe UI" w:cs="Segoe UI"/>
                          <w:sz w:val="14"/>
                          <w:szCs w:val="14"/>
                        </w:rPr>
                        <w:t xml:space="preserve"> </w:t>
                      </w:r>
                      <w:r>
                        <w:rPr>
                          <w:rFonts w:ascii="Segoe UI" w:hAnsi="Segoe UI" w:cs="Segoe UI"/>
                          <w:sz w:val="22"/>
                          <w:szCs w:val="22"/>
                        </w:rPr>
                        <w:t xml:space="preserve">Cubrir completamente el portaobjetos o cubreobjetos con el colorante de Wright gota a gota. Dejarlo que permanezca en el frotis aproximadamente de 5-8 minutos, para fijar los glóbulos sanguíneos. El colorante deberá cubrir completamente el portaobjetos, pero no debe derramarse por los bordes. Deberá agregarse una cantidad adicional si éste se comienza a evaporar. </w:t>
                      </w:r>
                    </w:p>
                    <w:p w:rsidR="006953B4" w:rsidRDefault="006953B4" w:rsidP="006953B4">
                      <w:pPr>
                        <w:pStyle w:val="Default"/>
                        <w:spacing w:after="56"/>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Agregar directamente al colorante un volumen igual de amortiguador de Wright, para evitar la coloración débil. Esperar la formación de brillo metálico. Puede usarse de igual manera agua </w:t>
                      </w:r>
                      <w:proofErr w:type="spellStart"/>
                      <w:r>
                        <w:rPr>
                          <w:rFonts w:ascii="Segoe UI" w:hAnsi="Segoe UI" w:cs="Segoe UI"/>
                          <w:sz w:val="22"/>
                          <w:szCs w:val="22"/>
                        </w:rPr>
                        <w:t>desionizada</w:t>
                      </w:r>
                      <w:proofErr w:type="spellEnd"/>
                      <w:r>
                        <w:rPr>
                          <w:rFonts w:ascii="Segoe UI" w:hAnsi="Segoe UI" w:cs="Segoe UI"/>
                          <w:sz w:val="22"/>
                          <w:szCs w:val="22"/>
                        </w:rPr>
                        <w:t xml:space="preserve">. Dejar actuar de 10-15 minutos. </w:t>
                      </w:r>
                    </w:p>
                    <w:p w:rsidR="006953B4" w:rsidRDefault="006953B4" w:rsidP="006953B4">
                      <w:pPr>
                        <w:pStyle w:val="Default"/>
                        <w:spacing w:after="56"/>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Lavar con agua en el chorro cuidadosamente hasta que la extensión presente un aspecto rosado al examinarlo a simple vista. </w:t>
                      </w:r>
                    </w:p>
                    <w:p w:rsidR="006953B4" w:rsidRDefault="006953B4" w:rsidP="006953B4">
                      <w:pPr>
                        <w:pStyle w:val="Default"/>
                        <w:spacing w:after="56"/>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Limpiar el dorso del portaobjetos con una gasa o algodón humedecido en alcohol para eliminar cualquier resto de colorante. </w:t>
                      </w:r>
                    </w:p>
                    <w:p w:rsidR="007A7E5F" w:rsidRDefault="006953B4" w:rsidP="007A7E5F">
                      <w:pPr>
                        <w:pStyle w:val="Default"/>
                        <w:pageBreakBefore/>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Secar al aire y observar con el microscopio</w:t>
                      </w:r>
                      <w:r>
                        <w:rPr>
                          <w:rFonts w:ascii="Segoe UI" w:hAnsi="Segoe UI" w:cs="Segoe UI"/>
                          <w:sz w:val="22"/>
                          <w:szCs w:val="22"/>
                        </w:rPr>
                        <w:t xml:space="preserve"> con el objetivo de inmersión</w:t>
                      </w:r>
                    </w:p>
                    <w:p w:rsidR="007A7E5F" w:rsidRDefault="006953B4" w:rsidP="007A7E5F">
                      <w:pPr>
                        <w:pStyle w:val="Default"/>
                        <w:pageBreakBefore/>
                        <w:rPr>
                          <w:rFonts w:ascii="Segoe UI" w:hAnsi="Segoe UI" w:cs="Segoe UI"/>
                          <w:sz w:val="22"/>
                          <w:szCs w:val="22"/>
                        </w:rPr>
                      </w:pPr>
                      <w:r>
                        <w:rPr>
                          <w:rFonts w:ascii="Segoe UI" w:hAnsi="Segoe UI" w:cs="Segoe UI"/>
                          <w:sz w:val="22"/>
                          <w:szCs w:val="22"/>
                        </w:rPr>
                        <w:t xml:space="preserve">. </w:t>
                      </w:r>
                      <w:r w:rsidR="007A7E5F">
                        <w:rPr>
                          <w:rFonts w:ascii="Segoe UI" w:hAnsi="Segoe UI" w:cs="Segoe UI"/>
                          <w:sz w:val="22"/>
                          <w:szCs w:val="22"/>
                        </w:rPr>
                        <w:t xml:space="preserve">Resultados: </w:t>
                      </w:r>
                    </w:p>
                    <w:p w:rsidR="006953B4" w:rsidRPr="006953B4" w:rsidRDefault="007A7E5F" w:rsidP="006953B4">
                      <w:pPr>
                        <w:pStyle w:val="Default"/>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Los eritrocitos se observa</w:t>
                      </w:r>
                      <w:r w:rsidR="008F2870">
                        <w:rPr>
                          <w:rFonts w:ascii="Segoe UI" w:hAnsi="Segoe UI" w:cs="Segoe UI"/>
                          <w:sz w:val="22"/>
                          <w:szCs w:val="22"/>
                        </w:rPr>
                        <w:t xml:space="preserve">rán de color naranja o rosado. </w:t>
                      </w:r>
                    </w:p>
                  </w:txbxContent>
                </v:textbox>
              </v:shape>
            </w:pict>
          </mc:Fallback>
        </mc:AlternateContent>
      </w:r>
    </w:p>
    <w:p w:rsidR="006953B4" w:rsidRDefault="00B51EE8" w:rsidP="006953B4">
      <w:pPr>
        <w:pStyle w:val="Default"/>
        <w:pageBreakBefore/>
        <w:rPr>
          <w:rFonts w:ascii="Segoe UI" w:hAnsi="Segoe UI" w:cs="Segoe UI"/>
          <w:sz w:val="22"/>
          <w:szCs w:val="22"/>
        </w:rPr>
      </w:pPr>
      <w:r w:rsidRPr="006953B4">
        <w:rPr>
          <w:rFonts w:ascii="Segoe UI" w:hAnsi="Segoe UI" w:cs="Segoe UI"/>
          <w:noProof/>
          <w:sz w:val="22"/>
          <w:szCs w:val="22"/>
        </w:rPr>
        <w:lastRenderedPageBreak/>
        <mc:AlternateContent>
          <mc:Choice Requires="wps">
            <w:drawing>
              <wp:anchor distT="0" distB="0" distL="114300" distR="114300" simplePos="0" relativeHeight="251662336" behindDoc="0" locked="0" layoutInCell="1" allowOverlap="1" wp14:anchorId="0EE53F6F" wp14:editId="0BBF458B">
                <wp:simplePos x="0" y="0"/>
                <wp:positionH relativeFrom="column">
                  <wp:align>center</wp:align>
                </wp:positionH>
                <wp:positionV relativeFrom="paragraph">
                  <wp:posOffset>0</wp:posOffset>
                </wp:positionV>
                <wp:extent cx="6809105" cy="4530811"/>
                <wp:effectExtent l="0" t="0" r="10795" b="222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105" cy="4530811"/>
                        </a:xfrm>
                        <a:prstGeom prst="rect">
                          <a:avLst/>
                        </a:prstGeom>
                        <a:solidFill>
                          <a:srgbClr val="FFFFFF"/>
                        </a:solidFill>
                        <a:ln w="9525">
                          <a:solidFill>
                            <a:srgbClr val="000000"/>
                          </a:solidFill>
                          <a:miter lim="800000"/>
                          <a:headEnd/>
                          <a:tailEnd/>
                        </a:ln>
                      </wps:spPr>
                      <wps:txbx>
                        <w:txbxContent>
                          <w:p w:rsidR="006953B4" w:rsidRPr="006953B4" w:rsidRDefault="006953B4" w:rsidP="006953B4">
                            <w:pPr>
                              <w:pStyle w:val="Default"/>
                              <w:rPr>
                                <w:rFonts w:ascii="Segoe UI" w:hAnsi="Segoe UI" w:cs="Segoe UI"/>
                                <w:sz w:val="22"/>
                                <w:szCs w:val="22"/>
                              </w:rPr>
                            </w:pPr>
                          </w:p>
                          <w:p w:rsidR="006953B4" w:rsidRPr="006953B4" w:rsidRDefault="006953B4" w:rsidP="006953B4">
                            <w:pPr>
                              <w:tabs>
                                <w:tab w:val="left" w:pos="5746"/>
                              </w:tabs>
                            </w:pPr>
                          </w:p>
                          <w:p w:rsidR="006953B4" w:rsidRDefault="006953B4" w:rsidP="006953B4">
                            <w:pPr>
                              <w:pStyle w:val="Default"/>
                              <w:pageBreakBefore/>
                              <w:rPr>
                                <w:rFonts w:ascii="Segoe UI" w:hAnsi="Segoe UI" w:cs="Segoe UI"/>
                                <w:sz w:val="22"/>
                                <w:szCs w:val="22"/>
                              </w:rPr>
                            </w:pP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El citoplasma de los monocitos presentarán una tonalidad azul grisácea con gránulo rojizos bastante finos y sus vacuolas características. El citoplasma de los linfocitos presentará varias tonalidades azules.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Los núcleos de los linfocitos y neutrófilos aparecerán de color púrpura oscuro. Los núcleos de los monocitos de color púrpura algo más claros (lila).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Los gránulos de los eosinófilos son de color rojo-anaranjado intenso. Los gránulos de los basófilos púrpura azulado muy oscuro. Los gránulos de los neutrófilos se aprecian de color lila, bastante finos. </w:t>
                            </w:r>
                          </w:p>
                          <w:p w:rsidR="006953B4" w:rsidRDefault="006953B4" w:rsidP="006953B4">
                            <w:pPr>
                              <w:pStyle w:val="Default"/>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Las plaquetas toman coloración violeta o púrpura. </w:t>
                            </w:r>
                          </w:p>
                          <w:p w:rsidR="006953B4" w:rsidRDefault="006953B4" w:rsidP="006953B4">
                            <w:pPr>
                              <w:pStyle w:val="Default"/>
                              <w:rPr>
                                <w:rFonts w:ascii="Segoe UI" w:hAnsi="Segoe UI" w:cs="Segoe UI"/>
                                <w:sz w:val="22"/>
                                <w:szCs w:val="22"/>
                              </w:rPr>
                            </w:pPr>
                          </w:p>
                          <w:p w:rsidR="006953B4" w:rsidRDefault="006953B4" w:rsidP="006953B4">
                            <w:pPr>
                              <w:pStyle w:val="Default"/>
                              <w:rPr>
                                <w:rFonts w:ascii="Segoe UI" w:hAnsi="Segoe UI" w:cs="Segoe UI"/>
                                <w:sz w:val="22"/>
                                <w:szCs w:val="22"/>
                              </w:rPr>
                            </w:pPr>
                            <w:r>
                              <w:rPr>
                                <w:rFonts w:ascii="Segoe UI" w:hAnsi="Segoe UI" w:cs="Segoe UI"/>
                                <w:sz w:val="22"/>
                                <w:szCs w:val="22"/>
                              </w:rPr>
                              <w:t xml:space="preserve">Observaciones: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Los tiempos varían de acuerdo a cada lote o tiempo de maduración del colorante. De ahí que si los frotis recién teñidos resultan demasiado pálidos se corrige aumentando el tiempo de tinción o disminuyendo el tiempo de lavado.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Si en la preparación se observa precipitados de colorante puede ser debido a varias causas: lavado insuficiente al final del proceso, utilización de porta o cubreobjetos sucios, mala filtración del colorante, mala distribución del colorante a lo largo de la extensión por no mantenerse en posición horizontal. </w:t>
                            </w:r>
                          </w:p>
                          <w:p w:rsidR="006953B4" w:rsidRDefault="006953B4" w:rsidP="006953B4">
                            <w:pPr>
                              <w:pStyle w:val="Default"/>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Durante la tinción el tampón fosfato controla el pH del colorante. Si el colorante es demasiado ácido la extensión resultará demasiado rojiza y si por el contrario es demasiado alcalina la precipitación presentará un aspecto azulado. </w:t>
                            </w:r>
                          </w:p>
                          <w:p w:rsidR="006953B4" w:rsidRDefault="006953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536.15pt;height:356.7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">
                <v:textbox>
                  <w:txbxContent>
                    <w:p w:rsidR="006953B4" w:rsidRPr="006953B4" w:rsidRDefault="006953B4" w:rsidP="006953B4">
                      <w:pPr>
                        <w:pStyle w:val="Default"/>
                        <w:rPr>
                          <w:rFonts w:ascii="Segoe UI" w:hAnsi="Segoe UI" w:cs="Segoe UI"/>
                          <w:sz w:val="22"/>
                          <w:szCs w:val="22"/>
                        </w:rPr>
                      </w:pPr>
                    </w:p>
                    <w:p w:rsidR="006953B4" w:rsidRPr="006953B4" w:rsidRDefault="006953B4" w:rsidP="006953B4">
                      <w:pPr>
                        <w:tabs>
                          <w:tab w:val="left" w:pos="5746"/>
                        </w:tabs>
                      </w:pPr>
                    </w:p>
                    <w:p w:rsidR="006953B4" w:rsidRDefault="006953B4" w:rsidP="006953B4">
                      <w:pPr>
                        <w:pStyle w:val="Default"/>
                        <w:pageBreakBefore/>
                        <w:rPr>
                          <w:rFonts w:ascii="Segoe UI" w:hAnsi="Segoe UI" w:cs="Segoe UI"/>
                          <w:sz w:val="22"/>
                          <w:szCs w:val="22"/>
                        </w:rPr>
                      </w:pP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El citoplasma de los monocitos presentarán una tonalidad azul grisácea con gránulo rojizos bastante finos y sus vacuolas características. El citoplasma de los linfocitos presentará varias tonalidades azules.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Los núcleos de los linfocitos y neutrófilos aparecerán de color púrpura oscuro. Los núcleos de los monocitos de color púrpura algo más claros (lila).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Los gránulos de los eosinófilos son de color rojo-anaranjado intenso. Los gránulos de los basófilos púrpura azulado muy oscuro. Los gránulos de los neutrófilos se aprecian de color lila, bastante finos. </w:t>
                      </w:r>
                    </w:p>
                    <w:p w:rsidR="006953B4" w:rsidRDefault="006953B4" w:rsidP="006953B4">
                      <w:pPr>
                        <w:pStyle w:val="Default"/>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Las plaquetas toman coloración violeta o púrpura. </w:t>
                      </w:r>
                    </w:p>
                    <w:p w:rsidR="006953B4" w:rsidRDefault="006953B4" w:rsidP="006953B4">
                      <w:pPr>
                        <w:pStyle w:val="Default"/>
                        <w:rPr>
                          <w:rFonts w:ascii="Segoe UI" w:hAnsi="Segoe UI" w:cs="Segoe UI"/>
                          <w:sz w:val="22"/>
                          <w:szCs w:val="22"/>
                        </w:rPr>
                      </w:pPr>
                    </w:p>
                    <w:p w:rsidR="006953B4" w:rsidRDefault="006953B4" w:rsidP="006953B4">
                      <w:pPr>
                        <w:pStyle w:val="Default"/>
                        <w:rPr>
                          <w:rFonts w:ascii="Segoe UI" w:hAnsi="Segoe UI" w:cs="Segoe UI"/>
                          <w:sz w:val="22"/>
                          <w:szCs w:val="22"/>
                        </w:rPr>
                      </w:pPr>
                      <w:r>
                        <w:rPr>
                          <w:rFonts w:ascii="Segoe UI" w:hAnsi="Segoe UI" w:cs="Segoe UI"/>
                          <w:sz w:val="22"/>
                          <w:szCs w:val="22"/>
                        </w:rPr>
                        <w:t xml:space="preserve">Observaciones: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Los tiempos varían de acuerdo a cada lote o tiempo de maduración del colorante. De ahí que si los frotis recién teñidos resultan demasiado pálidos se corrige aumentando el tiempo de tinción o disminuyendo el tiempo de lavado. </w:t>
                      </w:r>
                    </w:p>
                    <w:p w:rsidR="006953B4" w:rsidRDefault="006953B4" w:rsidP="006953B4">
                      <w:pPr>
                        <w:pStyle w:val="Default"/>
                        <w:spacing w:after="55"/>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Si en la preparación se observa precipitados de colorante puede ser debido a varias causas: lavado insuficiente al final del proceso, utilización de porta o cubreobjetos sucios, mala filtración del colorante, mala distribución del colorante a lo largo de la extensión por no mantenerse en posición horizontal. </w:t>
                      </w:r>
                    </w:p>
                    <w:p w:rsidR="006953B4" w:rsidRDefault="006953B4" w:rsidP="006953B4">
                      <w:pPr>
                        <w:pStyle w:val="Default"/>
                        <w:rPr>
                          <w:rFonts w:ascii="Segoe UI" w:hAnsi="Segoe UI" w:cs="Segoe UI"/>
                          <w:sz w:val="22"/>
                          <w:szCs w:val="22"/>
                        </w:rPr>
                      </w:pPr>
                      <w:r>
                        <w:rPr>
                          <w:rFonts w:ascii="Segoe UI" w:hAnsi="Segoe UI" w:cs="Segoe UI"/>
                          <w:sz w:val="14"/>
                          <w:szCs w:val="14"/>
                        </w:rPr>
                        <w:t xml:space="preserve"> </w:t>
                      </w:r>
                      <w:r>
                        <w:rPr>
                          <w:rFonts w:ascii="Segoe UI" w:hAnsi="Segoe UI" w:cs="Segoe UI"/>
                          <w:sz w:val="22"/>
                          <w:szCs w:val="22"/>
                        </w:rPr>
                        <w:t xml:space="preserve">Durante la tinción el tampón fosfato controla el pH del colorante. Si el colorante es demasiado ácido la extensión resultará demasiado rojiza y si por el contrario es demasiado alcalina la precipitación presentará un aspecto azulado. </w:t>
                      </w:r>
                    </w:p>
                    <w:p w:rsidR="006953B4" w:rsidRDefault="006953B4"/>
                  </w:txbxContent>
                </v:textbox>
              </v:shape>
            </w:pict>
          </mc:Fallback>
        </mc:AlternateContent>
      </w:r>
    </w:p>
    <w:p w:rsidR="00A2168B" w:rsidRDefault="00A2168B">
      <w:pPr>
        <w:rPr>
          <w:rStyle w:val="Hipervnculo"/>
          <w:color w:val="auto"/>
        </w:rPr>
      </w:pPr>
    </w:p>
    <w:p w:rsidR="00A2168B" w:rsidRDefault="00A2168B">
      <w:pPr>
        <w:rPr>
          <w:rStyle w:val="Hipervnculo"/>
          <w:color w:val="auto"/>
        </w:rPr>
      </w:pPr>
    </w:p>
    <w:p w:rsidR="00A2168B" w:rsidRDefault="00A2168B">
      <w:pPr>
        <w:rPr>
          <w:rStyle w:val="Hipervnculo"/>
          <w:color w:val="auto"/>
        </w:rPr>
      </w:pPr>
    </w:p>
    <w:p w:rsidR="00A2168B" w:rsidRDefault="00A2168B">
      <w:pPr>
        <w:rPr>
          <w:rStyle w:val="Hipervnculo"/>
          <w:color w:val="auto"/>
        </w:rPr>
      </w:pPr>
    </w:p>
    <w:p w:rsidR="00A2168B" w:rsidRDefault="00A2168B">
      <w:pPr>
        <w:rPr>
          <w:rStyle w:val="Hipervnculo"/>
          <w:color w:val="auto"/>
        </w:rPr>
      </w:pPr>
    </w:p>
    <w:p w:rsidR="00A2168B" w:rsidRDefault="00A2168B">
      <w:pPr>
        <w:rPr>
          <w:rStyle w:val="Hipervnculo"/>
          <w:color w:val="auto"/>
        </w:rPr>
      </w:pPr>
    </w:p>
    <w:p w:rsidR="00A2168B" w:rsidRDefault="00A2168B">
      <w:pPr>
        <w:rPr>
          <w:rStyle w:val="Hipervnculo"/>
          <w:color w:val="auto"/>
        </w:rPr>
      </w:pPr>
    </w:p>
    <w:p w:rsidR="00A2168B" w:rsidRDefault="00A2168B">
      <w:pPr>
        <w:rPr>
          <w:rStyle w:val="Hipervnculo"/>
          <w:color w:val="auto"/>
        </w:rPr>
      </w:pPr>
    </w:p>
    <w:p w:rsidR="00A2168B" w:rsidRDefault="00A2168B">
      <w:pPr>
        <w:rPr>
          <w:rStyle w:val="Hipervnculo"/>
          <w:color w:val="auto"/>
        </w:rPr>
      </w:pPr>
    </w:p>
    <w:p w:rsidR="00A2168B" w:rsidRDefault="00A2168B">
      <w:pPr>
        <w:rPr>
          <w:rStyle w:val="Hipervnculo"/>
          <w:color w:val="auto"/>
        </w:rPr>
      </w:pPr>
    </w:p>
    <w:p w:rsidR="00A2168B" w:rsidRDefault="00A2168B">
      <w:pPr>
        <w:rPr>
          <w:rStyle w:val="Hipervnculo"/>
          <w:color w:val="auto"/>
        </w:rPr>
      </w:pPr>
    </w:p>
    <w:p w:rsidR="00A2168B" w:rsidRPr="003A0404" w:rsidRDefault="00A2168B"/>
    <w:p w:rsidR="003A0404" w:rsidRDefault="003A0404"/>
    <w:sectPr w:rsidR="003A0404" w:rsidSect="004A7690">
      <w:pgSz w:w="12240" w:h="15840"/>
      <w:pgMar w:top="709" w:right="616"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8AD" w:rsidRDefault="007178AD" w:rsidP="006953B4">
      <w:pPr>
        <w:spacing w:after="0" w:line="240" w:lineRule="auto"/>
      </w:pPr>
      <w:r>
        <w:separator/>
      </w:r>
    </w:p>
  </w:endnote>
  <w:endnote w:type="continuationSeparator" w:id="0">
    <w:p w:rsidR="007178AD" w:rsidRDefault="007178AD" w:rsidP="00695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Print">
    <w:altName w:val="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Segoe UI">
    <w:altName w:val="Segoe UI Light"/>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8AD" w:rsidRDefault="007178AD" w:rsidP="006953B4">
      <w:pPr>
        <w:spacing w:after="0" w:line="240" w:lineRule="auto"/>
      </w:pPr>
      <w:r>
        <w:separator/>
      </w:r>
    </w:p>
  </w:footnote>
  <w:footnote w:type="continuationSeparator" w:id="0">
    <w:p w:rsidR="007178AD" w:rsidRDefault="007178AD" w:rsidP="006953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BCE"/>
    <w:rsid w:val="0001646C"/>
    <w:rsid w:val="001175C4"/>
    <w:rsid w:val="001B2C3F"/>
    <w:rsid w:val="001B563B"/>
    <w:rsid w:val="00216200"/>
    <w:rsid w:val="002B6623"/>
    <w:rsid w:val="0036703D"/>
    <w:rsid w:val="003A0404"/>
    <w:rsid w:val="003A15E5"/>
    <w:rsid w:val="00427CD3"/>
    <w:rsid w:val="004714F5"/>
    <w:rsid w:val="004A7690"/>
    <w:rsid w:val="004D0C38"/>
    <w:rsid w:val="005605E1"/>
    <w:rsid w:val="005C65D9"/>
    <w:rsid w:val="00607BCE"/>
    <w:rsid w:val="00612776"/>
    <w:rsid w:val="006509D8"/>
    <w:rsid w:val="0066235B"/>
    <w:rsid w:val="00681405"/>
    <w:rsid w:val="006953B4"/>
    <w:rsid w:val="006D2057"/>
    <w:rsid w:val="006F23B5"/>
    <w:rsid w:val="00703DB8"/>
    <w:rsid w:val="00713196"/>
    <w:rsid w:val="007178AD"/>
    <w:rsid w:val="00737218"/>
    <w:rsid w:val="00782B49"/>
    <w:rsid w:val="007A4222"/>
    <w:rsid w:val="007A7E5F"/>
    <w:rsid w:val="008C1A57"/>
    <w:rsid w:val="008C5CCB"/>
    <w:rsid w:val="008F2870"/>
    <w:rsid w:val="008F60B3"/>
    <w:rsid w:val="009000C1"/>
    <w:rsid w:val="009216F8"/>
    <w:rsid w:val="00974E61"/>
    <w:rsid w:val="009E3C12"/>
    <w:rsid w:val="00A2168B"/>
    <w:rsid w:val="00B51EE8"/>
    <w:rsid w:val="00B63CFC"/>
    <w:rsid w:val="00B8497B"/>
    <w:rsid w:val="00C72825"/>
    <w:rsid w:val="00C733D0"/>
    <w:rsid w:val="00CD5414"/>
    <w:rsid w:val="00CD720E"/>
    <w:rsid w:val="00E02919"/>
    <w:rsid w:val="00E7638C"/>
    <w:rsid w:val="00E904C3"/>
    <w:rsid w:val="00E93A78"/>
    <w:rsid w:val="00E946BF"/>
    <w:rsid w:val="00ED13B4"/>
    <w:rsid w:val="00EE3983"/>
    <w:rsid w:val="00F9648E"/>
    <w:rsid w:val="00FB72AC"/>
    <w:rsid w:val="00FE4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07BCE"/>
    <w:rPr>
      <w:color w:val="0000FF" w:themeColor="hyperlink"/>
      <w:u w:val="single"/>
    </w:rPr>
  </w:style>
  <w:style w:type="paragraph" w:customStyle="1" w:styleId="Default">
    <w:name w:val="Default"/>
    <w:rsid w:val="00A2168B"/>
    <w:pPr>
      <w:autoSpaceDE w:val="0"/>
      <w:autoSpaceDN w:val="0"/>
      <w:adjustRightInd w:val="0"/>
      <w:spacing w:after="0" w:line="240" w:lineRule="auto"/>
    </w:pPr>
    <w:rPr>
      <w:rFonts w:ascii="Segoe Print" w:hAnsi="Segoe Print" w:cs="Segoe Print"/>
      <w:color w:val="000000"/>
      <w:sz w:val="24"/>
      <w:szCs w:val="24"/>
    </w:rPr>
  </w:style>
  <w:style w:type="paragraph" w:styleId="Textodeglobo">
    <w:name w:val="Balloon Text"/>
    <w:basedOn w:val="Normal"/>
    <w:link w:val="TextodegloboCar"/>
    <w:uiPriority w:val="99"/>
    <w:semiHidden/>
    <w:unhideWhenUsed/>
    <w:rsid w:val="00A216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68B"/>
    <w:rPr>
      <w:rFonts w:ascii="Tahoma" w:hAnsi="Tahoma" w:cs="Tahoma"/>
      <w:sz w:val="16"/>
      <w:szCs w:val="16"/>
    </w:rPr>
  </w:style>
  <w:style w:type="paragraph" w:styleId="Encabezado">
    <w:name w:val="header"/>
    <w:basedOn w:val="Normal"/>
    <w:link w:val="EncabezadoCar"/>
    <w:uiPriority w:val="99"/>
    <w:unhideWhenUsed/>
    <w:rsid w:val="006953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53B4"/>
  </w:style>
  <w:style w:type="paragraph" w:styleId="Piedepgina">
    <w:name w:val="footer"/>
    <w:basedOn w:val="Normal"/>
    <w:link w:val="PiedepginaCar"/>
    <w:uiPriority w:val="99"/>
    <w:unhideWhenUsed/>
    <w:rsid w:val="006953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53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07BCE"/>
    <w:rPr>
      <w:color w:val="0000FF" w:themeColor="hyperlink"/>
      <w:u w:val="single"/>
    </w:rPr>
  </w:style>
  <w:style w:type="paragraph" w:customStyle="1" w:styleId="Default">
    <w:name w:val="Default"/>
    <w:rsid w:val="00A2168B"/>
    <w:pPr>
      <w:autoSpaceDE w:val="0"/>
      <w:autoSpaceDN w:val="0"/>
      <w:adjustRightInd w:val="0"/>
      <w:spacing w:after="0" w:line="240" w:lineRule="auto"/>
    </w:pPr>
    <w:rPr>
      <w:rFonts w:ascii="Segoe Print" w:hAnsi="Segoe Print" w:cs="Segoe Print"/>
      <w:color w:val="000000"/>
      <w:sz w:val="24"/>
      <w:szCs w:val="24"/>
    </w:rPr>
  </w:style>
  <w:style w:type="paragraph" w:styleId="Textodeglobo">
    <w:name w:val="Balloon Text"/>
    <w:basedOn w:val="Normal"/>
    <w:link w:val="TextodegloboCar"/>
    <w:uiPriority w:val="99"/>
    <w:semiHidden/>
    <w:unhideWhenUsed/>
    <w:rsid w:val="00A216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68B"/>
    <w:rPr>
      <w:rFonts w:ascii="Tahoma" w:hAnsi="Tahoma" w:cs="Tahoma"/>
      <w:sz w:val="16"/>
      <w:szCs w:val="16"/>
    </w:rPr>
  </w:style>
  <w:style w:type="paragraph" w:styleId="Encabezado">
    <w:name w:val="header"/>
    <w:basedOn w:val="Normal"/>
    <w:link w:val="EncabezadoCar"/>
    <w:uiPriority w:val="99"/>
    <w:unhideWhenUsed/>
    <w:rsid w:val="006953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53B4"/>
  </w:style>
  <w:style w:type="paragraph" w:styleId="Piedepgina">
    <w:name w:val="footer"/>
    <w:basedOn w:val="Normal"/>
    <w:link w:val="PiedepginaCar"/>
    <w:uiPriority w:val="99"/>
    <w:unhideWhenUsed/>
    <w:rsid w:val="006953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5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361906">
      <w:bodyDiv w:val="1"/>
      <w:marLeft w:val="0"/>
      <w:marRight w:val="0"/>
      <w:marTop w:val="0"/>
      <w:marBottom w:val="0"/>
      <w:divBdr>
        <w:top w:val="none" w:sz="0" w:space="0" w:color="auto"/>
        <w:left w:val="none" w:sz="0" w:space="0" w:color="auto"/>
        <w:bottom w:val="none" w:sz="0" w:space="0" w:color="auto"/>
        <w:right w:val="none" w:sz="0" w:space="0" w:color="auto"/>
      </w:divBdr>
      <w:divsChild>
        <w:div w:id="255098643">
          <w:marLeft w:val="0"/>
          <w:marRight w:val="0"/>
          <w:marTop w:val="0"/>
          <w:marBottom w:val="0"/>
          <w:divBdr>
            <w:top w:val="none" w:sz="0" w:space="0" w:color="auto"/>
            <w:left w:val="none" w:sz="0" w:space="0" w:color="auto"/>
            <w:bottom w:val="none" w:sz="0" w:space="0" w:color="auto"/>
            <w:right w:val="none" w:sz="0" w:space="0" w:color="auto"/>
          </w:divBdr>
        </w:div>
      </w:divsChild>
    </w:div>
    <w:div w:id="140359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ecyt15.ipn.mx/polilibros/inmuno/Cap4/PAGINAS/tipificacion.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ecyt15.ipn.mx/polilibros/inmuno/Cap4/PAGINAS/tipificacion.html"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ecyt15.ipn.mx/polilibros/inmuno/Cap4/PAGINAS/tipificacion.html"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www.cecyt15.ipn.mx/polilibros/inmuno/Cap4/PAGINAS/tipificacion.html" TargetMode="External"/><Relationship Id="rId4" Type="http://schemas.openxmlformats.org/officeDocument/2006/relationships/webSettings" Target="webSettings.xml"/><Relationship Id="rId9" Type="http://schemas.openxmlformats.org/officeDocument/2006/relationships/hyperlink" Target="http://www.cecyt15.ipn.mx/polilibros/inmuno/Cap4/PAGINAS/tipificacion.html" TargetMode="External"/><Relationship Id="rId14" Type="http://schemas.openxmlformats.org/officeDocument/2006/relationships/hyperlink" Target="http://carmelo-bc.jimd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6</Pages>
  <Words>1827</Words>
  <Characters>10049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carmeloballadarescas</dc:creator>
  <cp:lastModifiedBy>carmelo</cp:lastModifiedBy>
  <cp:revision>11</cp:revision>
  <cp:lastPrinted>2015-04-28T00:46:00Z</cp:lastPrinted>
  <dcterms:created xsi:type="dcterms:W3CDTF">2011-03-12T04:31:00Z</dcterms:created>
  <dcterms:modified xsi:type="dcterms:W3CDTF">2015-04-28T00:49:00Z</dcterms:modified>
</cp:coreProperties>
</file>